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22CA" w14:textId="6C604E15" w:rsidR="00B92B95" w:rsidRPr="00B92B95" w:rsidRDefault="00B92B95" w:rsidP="00B92B95">
      <w:pPr>
        <w:jc w:val="center"/>
        <w:rPr>
          <w:rFonts w:cs="Calibri"/>
          <w:bCs/>
          <w:color w:val="002060"/>
          <w:u w:val="single"/>
        </w:rPr>
      </w:pPr>
      <w:r w:rsidRPr="009A348B">
        <w:rPr>
          <w:rFonts w:cs="Calibri"/>
          <w:bCs/>
          <w:color w:val="002060"/>
          <w:u w:val="single"/>
        </w:rPr>
        <w:t>Comunicato stampa</w:t>
      </w:r>
    </w:p>
    <w:p w14:paraId="05EE5EE4" w14:textId="096C9EBB" w:rsidR="00B92B95" w:rsidRPr="00B92B95" w:rsidRDefault="00B92B95" w:rsidP="00B92B95">
      <w:pPr>
        <w:jc w:val="center"/>
        <w:rPr>
          <w:rFonts w:cs="Calibri"/>
          <w:bCs/>
          <w:color w:val="002060"/>
          <w:sz w:val="32"/>
          <w:szCs w:val="32"/>
        </w:rPr>
      </w:pPr>
      <w:r w:rsidRPr="00DF5B10">
        <w:rPr>
          <w:rFonts w:cs="Calibri"/>
          <w:bCs/>
          <w:color w:val="002060"/>
          <w:sz w:val="32"/>
          <w:szCs w:val="32"/>
        </w:rPr>
        <w:t xml:space="preserve">Osservatorio Look to the </w:t>
      </w:r>
      <w:r w:rsidR="00062C37">
        <w:rPr>
          <w:rFonts w:cs="Calibri"/>
          <w:bCs/>
          <w:color w:val="002060"/>
          <w:sz w:val="32"/>
          <w:szCs w:val="32"/>
        </w:rPr>
        <w:t>F</w:t>
      </w:r>
      <w:r w:rsidR="00062C37" w:rsidRPr="00DF5B10">
        <w:rPr>
          <w:rFonts w:cs="Calibri"/>
          <w:bCs/>
          <w:color w:val="002060"/>
          <w:sz w:val="32"/>
          <w:szCs w:val="32"/>
        </w:rPr>
        <w:t>uture</w:t>
      </w:r>
    </w:p>
    <w:p w14:paraId="07293F3D" w14:textId="5AD5A180" w:rsidR="00B92B95" w:rsidRDefault="00B92B95" w:rsidP="00B92B95">
      <w:pPr>
        <w:jc w:val="center"/>
        <w:rPr>
          <w:b/>
          <w:bCs/>
        </w:rPr>
      </w:pPr>
      <w:r w:rsidRPr="00541339">
        <w:rPr>
          <w:rFonts w:cs="Calibri"/>
          <w:bCs/>
          <w:i/>
          <w:iCs/>
          <w:color w:val="002060"/>
        </w:rPr>
        <w:t>Athora Italia presenta i risultati dell</w:t>
      </w:r>
      <w:r>
        <w:rPr>
          <w:rFonts w:cs="Calibri"/>
          <w:bCs/>
          <w:i/>
          <w:iCs/>
          <w:color w:val="002060"/>
        </w:rPr>
        <w:t>’</w:t>
      </w:r>
      <w:r w:rsidRPr="00541339">
        <w:rPr>
          <w:rFonts w:cs="Calibri"/>
          <w:bCs/>
          <w:i/>
          <w:iCs/>
          <w:color w:val="002060"/>
        </w:rPr>
        <w:t xml:space="preserve">indagine Nomisma nella provincia di </w:t>
      </w:r>
      <w:r w:rsidR="00520CB9">
        <w:rPr>
          <w:rFonts w:cs="Calibri"/>
          <w:bCs/>
          <w:i/>
          <w:iCs/>
          <w:color w:val="002060"/>
        </w:rPr>
        <w:t>Genova</w:t>
      </w:r>
      <w:r w:rsidRPr="00541339">
        <w:rPr>
          <w:rFonts w:cs="Calibri"/>
          <w:bCs/>
          <w:i/>
          <w:iCs/>
          <w:color w:val="002060"/>
        </w:rPr>
        <w:t xml:space="preserve">. </w:t>
      </w:r>
      <w:r>
        <w:rPr>
          <w:rFonts w:cs="Calibri"/>
          <w:bCs/>
          <w:i/>
          <w:iCs/>
          <w:color w:val="002060"/>
        </w:rPr>
        <w:t xml:space="preserve">Le opinioni e le conoscenze dei </w:t>
      </w:r>
      <w:r w:rsidR="00767958">
        <w:rPr>
          <w:rFonts w:cs="Calibri"/>
          <w:bCs/>
          <w:i/>
          <w:iCs/>
          <w:color w:val="002060"/>
        </w:rPr>
        <w:t>cittadini</w:t>
      </w:r>
      <w:r>
        <w:rPr>
          <w:rFonts w:cs="Calibri"/>
          <w:bCs/>
          <w:i/>
          <w:iCs/>
          <w:color w:val="002060"/>
        </w:rPr>
        <w:t xml:space="preserve"> riguardo le assicurazioni.</w:t>
      </w:r>
    </w:p>
    <w:p w14:paraId="5F352E4A" w14:textId="0854631C" w:rsidR="00B92B95" w:rsidRDefault="00B92B95" w:rsidP="00B92B95">
      <w:pPr>
        <w:jc w:val="center"/>
        <w:rPr>
          <w:rFonts w:cs="Calibri"/>
          <w:b/>
          <w:color w:val="002060"/>
          <w:sz w:val="24"/>
          <w:szCs w:val="24"/>
        </w:rPr>
      </w:pPr>
      <w:r w:rsidRPr="00B92B95">
        <w:rPr>
          <w:rFonts w:cs="Calibri"/>
          <w:b/>
          <w:color w:val="002060"/>
          <w:sz w:val="24"/>
          <w:szCs w:val="24"/>
        </w:rPr>
        <w:t xml:space="preserve">Assicurazioni: </w:t>
      </w:r>
      <w:r w:rsidR="00520CB9" w:rsidRPr="00520CB9">
        <w:rPr>
          <w:rFonts w:cs="Calibri"/>
          <w:b/>
          <w:color w:val="002060"/>
          <w:sz w:val="24"/>
          <w:szCs w:val="24"/>
        </w:rPr>
        <w:t xml:space="preserve">il 75% dei genovesi guarda alle polizze </w:t>
      </w:r>
      <w:r w:rsidR="00DF54A3">
        <w:rPr>
          <w:rFonts w:cs="Calibri"/>
          <w:b/>
          <w:color w:val="002060"/>
          <w:sz w:val="24"/>
          <w:szCs w:val="24"/>
        </w:rPr>
        <w:t xml:space="preserve">vita </w:t>
      </w:r>
      <w:r w:rsidR="00520CB9" w:rsidRPr="00520CB9">
        <w:rPr>
          <w:rFonts w:cs="Calibri"/>
          <w:b/>
          <w:color w:val="002060"/>
          <w:sz w:val="24"/>
          <w:szCs w:val="24"/>
        </w:rPr>
        <w:t xml:space="preserve">come integrazione alla pensione pubblica, ma 1 su 2 non conosce quelle con </w:t>
      </w:r>
      <w:r w:rsidR="00B11D18" w:rsidRPr="00520CB9">
        <w:rPr>
          <w:rFonts w:cs="Calibri"/>
          <w:b/>
          <w:color w:val="002060"/>
          <w:sz w:val="24"/>
          <w:szCs w:val="24"/>
        </w:rPr>
        <w:t>Gestione Separata</w:t>
      </w:r>
    </w:p>
    <w:p w14:paraId="0264135D" w14:textId="4D976368" w:rsidR="00520CB9" w:rsidRDefault="00520CB9" w:rsidP="00520CB9">
      <w:pPr>
        <w:spacing w:before="240"/>
        <w:jc w:val="center"/>
        <w:rPr>
          <w:rFonts w:cs="Calibri"/>
          <w:bCs/>
          <w:i/>
          <w:iCs/>
          <w:color w:val="002060"/>
        </w:rPr>
      </w:pPr>
      <w:r w:rsidRPr="00520CB9">
        <w:rPr>
          <w:rFonts w:cs="Calibri"/>
          <w:bCs/>
          <w:i/>
          <w:iCs/>
          <w:color w:val="002060"/>
        </w:rPr>
        <w:t xml:space="preserve">Solo il 29% </w:t>
      </w:r>
      <w:r w:rsidR="00F779A4">
        <w:rPr>
          <w:rFonts w:cs="Calibri"/>
          <w:bCs/>
          <w:i/>
          <w:iCs/>
          <w:color w:val="002060"/>
        </w:rPr>
        <w:t>dichiara</w:t>
      </w:r>
      <w:r w:rsidR="00F779A4" w:rsidRPr="00520CB9">
        <w:rPr>
          <w:rFonts w:cs="Calibri"/>
          <w:bCs/>
          <w:i/>
          <w:iCs/>
          <w:color w:val="002060"/>
        </w:rPr>
        <w:t xml:space="preserve"> </w:t>
      </w:r>
      <w:r w:rsidRPr="00520CB9">
        <w:rPr>
          <w:rFonts w:cs="Calibri"/>
          <w:bCs/>
          <w:i/>
          <w:iCs/>
          <w:color w:val="002060"/>
        </w:rPr>
        <w:t>una conoscenza approfondita del settore</w:t>
      </w:r>
      <w:r w:rsidR="00865D61">
        <w:rPr>
          <w:rFonts w:cs="Calibri"/>
          <w:bCs/>
          <w:i/>
          <w:iCs/>
          <w:color w:val="002060"/>
        </w:rPr>
        <w:t xml:space="preserve"> assicurativo</w:t>
      </w:r>
      <w:r w:rsidRPr="00520CB9">
        <w:rPr>
          <w:rFonts w:cs="Calibri"/>
          <w:bCs/>
          <w:i/>
          <w:iCs/>
          <w:color w:val="002060"/>
        </w:rPr>
        <w:t xml:space="preserve">. </w:t>
      </w:r>
      <w:r w:rsidR="00EA2513">
        <w:rPr>
          <w:rFonts w:cs="Calibri"/>
          <w:bCs/>
          <w:i/>
          <w:iCs/>
          <w:color w:val="002060"/>
        </w:rPr>
        <w:t>Integrazione della pensione pubblica</w:t>
      </w:r>
      <w:r w:rsidR="0095404E">
        <w:rPr>
          <w:rFonts w:cs="Calibri"/>
          <w:bCs/>
          <w:i/>
          <w:iCs/>
          <w:color w:val="002060"/>
        </w:rPr>
        <w:t>, p</w:t>
      </w:r>
      <w:r w:rsidRPr="00520CB9">
        <w:rPr>
          <w:rFonts w:cs="Calibri"/>
          <w:bCs/>
          <w:i/>
          <w:iCs/>
          <w:color w:val="002060"/>
        </w:rPr>
        <w:t xml:space="preserve">rotezione della famiglia e pianificazione </w:t>
      </w:r>
      <w:r w:rsidR="00EA2513">
        <w:rPr>
          <w:rFonts w:cs="Calibri"/>
          <w:bCs/>
          <w:i/>
          <w:iCs/>
          <w:color w:val="002060"/>
        </w:rPr>
        <w:t xml:space="preserve">successoria </w:t>
      </w:r>
      <w:r w:rsidRPr="00520CB9">
        <w:rPr>
          <w:rFonts w:cs="Calibri"/>
          <w:bCs/>
          <w:i/>
          <w:iCs/>
          <w:color w:val="002060"/>
        </w:rPr>
        <w:t>al centro dell</w:t>
      </w:r>
      <w:r w:rsidR="00F11D64">
        <w:rPr>
          <w:rFonts w:cs="Calibri"/>
          <w:bCs/>
          <w:i/>
          <w:iCs/>
          <w:color w:val="002060"/>
        </w:rPr>
        <w:t>a</w:t>
      </w:r>
      <w:r w:rsidRPr="00520CB9">
        <w:rPr>
          <w:rFonts w:cs="Calibri"/>
          <w:bCs/>
          <w:i/>
          <w:iCs/>
          <w:color w:val="002060"/>
        </w:rPr>
        <w:t xml:space="preserve"> </w:t>
      </w:r>
      <w:r w:rsidR="00EA2513" w:rsidRPr="00520CB9">
        <w:rPr>
          <w:rFonts w:cs="Calibri"/>
          <w:bCs/>
          <w:i/>
          <w:iCs/>
          <w:color w:val="002060"/>
        </w:rPr>
        <w:t>scelt</w:t>
      </w:r>
      <w:r w:rsidR="00EA2513">
        <w:rPr>
          <w:rFonts w:cs="Calibri"/>
          <w:bCs/>
          <w:i/>
          <w:iCs/>
          <w:color w:val="002060"/>
        </w:rPr>
        <w:t>a delle polizze vita a contenuto finanziario</w:t>
      </w:r>
    </w:p>
    <w:p w14:paraId="5DD13EEB" w14:textId="57CF4297" w:rsidR="0095404E" w:rsidRDefault="00A5494C" w:rsidP="0095404E">
      <w:pPr>
        <w:spacing w:before="240"/>
        <w:jc w:val="both"/>
        <w:rPr>
          <w:rFonts w:cstheme="minorHAnsi"/>
        </w:rPr>
      </w:pPr>
      <w:r>
        <w:rPr>
          <w:rFonts w:cstheme="minorHAnsi"/>
          <w:i/>
          <w:iCs/>
        </w:rPr>
        <w:t>Genova</w:t>
      </w:r>
      <w:r w:rsidR="00B92B95" w:rsidRPr="00B92B95">
        <w:rPr>
          <w:rFonts w:cstheme="minorHAnsi"/>
          <w:i/>
          <w:iCs/>
        </w:rPr>
        <w:t xml:space="preserve">, </w:t>
      </w:r>
      <w:r w:rsidR="0095404E">
        <w:rPr>
          <w:rFonts w:cstheme="minorHAnsi"/>
          <w:i/>
          <w:iCs/>
        </w:rPr>
        <w:t>31</w:t>
      </w:r>
      <w:r w:rsidR="00B92B95" w:rsidRPr="00B92B95">
        <w:rPr>
          <w:rFonts w:cstheme="minorHAnsi"/>
          <w:i/>
          <w:iCs/>
        </w:rPr>
        <w:t xml:space="preserve"> luglio 2025</w:t>
      </w:r>
      <w:r w:rsidR="00B92B95" w:rsidRPr="00B92B95">
        <w:rPr>
          <w:rFonts w:cstheme="minorHAnsi"/>
        </w:rPr>
        <w:t xml:space="preserve"> – </w:t>
      </w:r>
      <w:r w:rsidR="0095404E" w:rsidRPr="0095404E">
        <w:rPr>
          <w:rFonts w:cstheme="minorHAnsi"/>
        </w:rPr>
        <w:t xml:space="preserve">Meno di </w:t>
      </w:r>
      <w:r w:rsidR="0095404E" w:rsidRPr="0095404E">
        <w:rPr>
          <w:rFonts w:cstheme="minorHAnsi"/>
          <w:b/>
          <w:bCs/>
        </w:rPr>
        <w:t>3 genovesi su 10 (29%)</w:t>
      </w:r>
      <w:r w:rsidR="0095404E" w:rsidRPr="0095404E">
        <w:rPr>
          <w:rFonts w:cstheme="minorHAnsi"/>
        </w:rPr>
        <w:t xml:space="preserve"> affermano di conoscere bene il mondo delle assicurazioni, mentre la grande maggioranza (</w:t>
      </w:r>
      <w:r w:rsidR="0095404E" w:rsidRPr="0095404E">
        <w:rPr>
          <w:rFonts w:cstheme="minorHAnsi"/>
          <w:b/>
          <w:bCs/>
        </w:rPr>
        <w:t>68%</w:t>
      </w:r>
      <w:r w:rsidR="0095404E" w:rsidRPr="0095404E">
        <w:rPr>
          <w:rFonts w:cstheme="minorHAnsi"/>
        </w:rPr>
        <w:t xml:space="preserve">) ha una comprensione solo parziale e il </w:t>
      </w:r>
      <w:r w:rsidR="0095404E" w:rsidRPr="0095404E">
        <w:rPr>
          <w:rFonts w:cstheme="minorHAnsi"/>
          <w:b/>
          <w:bCs/>
        </w:rPr>
        <w:t>2%</w:t>
      </w:r>
      <w:r w:rsidR="0095404E" w:rsidRPr="0095404E">
        <w:rPr>
          <w:rFonts w:cstheme="minorHAnsi"/>
        </w:rPr>
        <w:t xml:space="preserve"> dichiara di non avere alcuna familiarità con l’argomento. </w:t>
      </w:r>
      <w:r w:rsidR="00EF192C">
        <w:rPr>
          <w:rFonts w:cstheme="minorHAnsi"/>
        </w:rPr>
        <w:t>Sono alcuni dei dati</w:t>
      </w:r>
      <w:r w:rsidR="0095404E" w:rsidRPr="0095404E">
        <w:rPr>
          <w:rFonts w:cstheme="minorHAnsi"/>
        </w:rPr>
        <w:t xml:space="preserve"> che emerg</w:t>
      </w:r>
      <w:r w:rsidR="00EF192C">
        <w:rPr>
          <w:rFonts w:cstheme="minorHAnsi"/>
        </w:rPr>
        <w:t>ono</w:t>
      </w:r>
      <w:r w:rsidR="0095404E" w:rsidRPr="0095404E">
        <w:rPr>
          <w:rFonts w:cstheme="minorHAnsi"/>
        </w:rPr>
        <w:t xml:space="preserve"> </w:t>
      </w:r>
      <w:r w:rsidR="00EF192C" w:rsidRPr="0095404E">
        <w:rPr>
          <w:rFonts w:cstheme="minorHAnsi"/>
        </w:rPr>
        <w:t>d</w:t>
      </w:r>
      <w:r w:rsidR="00EF192C">
        <w:rPr>
          <w:rFonts w:cstheme="minorHAnsi"/>
        </w:rPr>
        <w:t>a</w:t>
      </w:r>
      <w:r w:rsidR="00EF192C" w:rsidRPr="0095404E">
        <w:rPr>
          <w:rFonts w:cstheme="minorHAnsi"/>
        </w:rPr>
        <w:t>ll’</w:t>
      </w:r>
      <w:r w:rsidR="00EF192C" w:rsidRPr="00B11D18">
        <w:rPr>
          <w:rFonts w:cstheme="minorHAnsi"/>
          <w:i/>
          <w:iCs/>
        </w:rPr>
        <w:t xml:space="preserve">Osservatorio </w:t>
      </w:r>
      <w:r w:rsidR="0095404E" w:rsidRPr="00B11D18">
        <w:rPr>
          <w:rFonts w:cstheme="minorHAnsi"/>
          <w:i/>
          <w:iCs/>
        </w:rPr>
        <w:t>Look to the Future</w:t>
      </w:r>
      <w:r w:rsidR="0095404E" w:rsidRPr="0095404E">
        <w:rPr>
          <w:rFonts w:cstheme="minorHAnsi"/>
        </w:rPr>
        <w:t xml:space="preserve"> di </w:t>
      </w:r>
      <w:r w:rsidR="0095404E" w:rsidRPr="0095404E">
        <w:rPr>
          <w:rFonts w:cstheme="minorHAnsi"/>
          <w:b/>
          <w:bCs/>
        </w:rPr>
        <w:t>Athora Italia</w:t>
      </w:r>
      <w:r w:rsidR="0095404E" w:rsidRPr="0095404E">
        <w:rPr>
          <w:rFonts w:cstheme="minorHAnsi"/>
        </w:rPr>
        <w:t xml:space="preserve">, compagnia assicurativa vita del Gruppo Athora, tra i principali attori europei nel risparmio assicurativo e </w:t>
      </w:r>
      <w:r w:rsidR="00EF192C">
        <w:rPr>
          <w:rFonts w:cstheme="minorHAnsi"/>
        </w:rPr>
        <w:t xml:space="preserve">nella </w:t>
      </w:r>
      <w:r w:rsidR="0095404E" w:rsidRPr="0095404E">
        <w:rPr>
          <w:rFonts w:cstheme="minorHAnsi"/>
        </w:rPr>
        <w:t>previdenz</w:t>
      </w:r>
      <w:r w:rsidR="00EF192C">
        <w:rPr>
          <w:rFonts w:cstheme="minorHAnsi"/>
        </w:rPr>
        <w:t>a</w:t>
      </w:r>
      <w:r w:rsidR="0095404E" w:rsidRPr="0095404E">
        <w:rPr>
          <w:rFonts w:cstheme="minorHAnsi"/>
        </w:rPr>
        <w:t xml:space="preserve">. L’indagine, condotta da </w:t>
      </w:r>
      <w:r w:rsidR="0095404E" w:rsidRPr="0095404E">
        <w:rPr>
          <w:rFonts w:cstheme="minorHAnsi"/>
          <w:b/>
          <w:bCs/>
        </w:rPr>
        <w:t>Nomisma</w:t>
      </w:r>
      <w:r w:rsidR="0095404E" w:rsidRPr="0095404E">
        <w:rPr>
          <w:rFonts w:cstheme="minorHAnsi"/>
        </w:rPr>
        <w:t xml:space="preserve">, ha coinvolto cinque grandi province italiane, tra cui </w:t>
      </w:r>
      <w:r w:rsidR="0095404E" w:rsidRPr="0095404E">
        <w:rPr>
          <w:rFonts w:cstheme="minorHAnsi"/>
          <w:b/>
          <w:bCs/>
        </w:rPr>
        <w:t>Genova</w:t>
      </w:r>
      <w:r w:rsidR="00B11D18">
        <w:rPr>
          <w:rFonts w:cstheme="minorHAnsi"/>
          <w:b/>
          <w:bCs/>
        </w:rPr>
        <w:t xml:space="preserve"> </w:t>
      </w:r>
      <w:r w:rsidR="00B11D18" w:rsidRPr="00B11D18">
        <w:rPr>
          <w:rFonts w:cstheme="minorHAnsi"/>
          <w:b/>
          <w:bCs/>
          <w:vertAlign w:val="superscript"/>
        </w:rPr>
        <w:t>(</w:t>
      </w:r>
      <w:r w:rsidR="00B11D18" w:rsidRPr="00B11D18">
        <w:rPr>
          <w:rFonts w:cstheme="minorHAnsi"/>
          <w:b/>
          <w:bCs/>
          <w:vertAlign w:val="superscript"/>
        </w:rPr>
        <w:footnoteReference w:id="1"/>
      </w:r>
      <w:r w:rsidR="00B11D18" w:rsidRPr="00B11D18">
        <w:rPr>
          <w:rFonts w:cstheme="minorHAnsi"/>
          <w:b/>
          <w:bCs/>
          <w:vertAlign w:val="superscript"/>
        </w:rPr>
        <w:t>)</w:t>
      </w:r>
      <w:r w:rsidR="00A40315">
        <w:rPr>
          <w:rFonts w:cstheme="minorHAnsi"/>
          <w:b/>
          <w:bCs/>
          <w:vertAlign w:val="superscript"/>
        </w:rPr>
        <w:t>.</w:t>
      </w:r>
    </w:p>
    <w:p w14:paraId="5410B64D" w14:textId="468B3D28" w:rsidR="003B45A4" w:rsidRDefault="0037102B" w:rsidP="003B45A4">
      <w:pPr>
        <w:spacing w:before="240"/>
        <w:jc w:val="both"/>
        <w:rPr>
          <w:rFonts w:cstheme="minorHAnsi"/>
        </w:rPr>
      </w:pPr>
      <w:r>
        <w:rPr>
          <w:rFonts w:cstheme="minorHAnsi"/>
        </w:rPr>
        <w:t>L</w:t>
      </w:r>
      <w:r w:rsidR="003B45A4" w:rsidRPr="0095404E">
        <w:rPr>
          <w:rFonts w:cstheme="minorHAnsi"/>
        </w:rPr>
        <w:t xml:space="preserve">e </w:t>
      </w:r>
      <w:r w:rsidR="003B45A4" w:rsidRPr="0095404E">
        <w:rPr>
          <w:rFonts w:cstheme="minorHAnsi"/>
          <w:b/>
          <w:bCs/>
        </w:rPr>
        <w:t xml:space="preserve">polizze </w:t>
      </w:r>
      <w:r w:rsidR="00092700">
        <w:rPr>
          <w:rFonts w:cstheme="minorHAnsi"/>
          <w:b/>
          <w:bCs/>
        </w:rPr>
        <w:t xml:space="preserve">vita </w:t>
      </w:r>
      <w:r w:rsidR="003B45A4" w:rsidRPr="0095404E">
        <w:rPr>
          <w:rFonts w:cstheme="minorHAnsi"/>
          <w:b/>
          <w:bCs/>
        </w:rPr>
        <w:t>a contenuto finanziario</w:t>
      </w:r>
      <w:r w:rsidR="003B45A4" w:rsidRPr="0095404E">
        <w:rPr>
          <w:rFonts w:cstheme="minorHAnsi"/>
        </w:rPr>
        <w:t xml:space="preserve"> generano incertezza: circa </w:t>
      </w:r>
      <w:r w:rsidR="003B45A4" w:rsidRPr="0095404E">
        <w:rPr>
          <w:rFonts w:cstheme="minorHAnsi"/>
          <w:b/>
          <w:bCs/>
        </w:rPr>
        <w:t xml:space="preserve">1 </w:t>
      </w:r>
      <w:r w:rsidR="007D5822">
        <w:rPr>
          <w:rFonts w:cstheme="minorHAnsi"/>
          <w:b/>
          <w:bCs/>
        </w:rPr>
        <w:t>genovese</w:t>
      </w:r>
      <w:r w:rsidR="003B45A4" w:rsidRPr="0095404E">
        <w:rPr>
          <w:rFonts w:cstheme="minorHAnsi"/>
          <w:b/>
          <w:bCs/>
        </w:rPr>
        <w:t xml:space="preserve"> su 4 le considera rischiose</w:t>
      </w:r>
      <w:r w:rsidR="003B45A4" w:rsidRPr="0095404E">
        <w:rPr>
          <w:rFonts w:cstheme="minorHAnsi"/>
        </w:rPr>
        <w:t>, e una quota analoga (</w:t>
      </w:r>
      <w:r w:rsidR="003B45A4" w:rsidRPr="0095404E">
        <w:rPr>
          <w:rFonts w:cstheme="minorHAnsi"/>
          <w:b/>
          <w:bCs/>
        </w:rPr>
        <w:t>25%</w:t>
      </w:r>
      <w:r w:rsidR="003B45A4" w:rsidRPr="0095404E">
        <w:rPr>
          <w:rFonts w:cstheme="minorHAnsi"/>
        </w:rPr>
        <w:t>) non ha un’opinione precisa, segno di una conoscenza ancora poco strutturata.</w:t>
      </w:r>
    </w:p>
    <w:p w14:paraId="047CC028" w14:textId="56C078AD" w:rsidR="0095404E" w:rsidRPr="0095404E" w:rsidRDefault="00F5189C" w:rsidP="0095404E">
      <w:pPr>
        <w:spacing w:before="240"/>
        <w:jc w:val="both"/>
        <w:rPr>
          <w:rFonts w:cstheme="minorHAnsi"/>
        </w:rPr>
      </w:pPr>
      <w:r w:rsidRPr="0037102B">
        <w:rPr>
          <w:rFonts w:cstheme="minorHAnsi"/>
        </w:rPr>
        <w:t>Il principale driver di scelta delle polizze vita a contenuto finanziario è</w:t>
      </w:r>
      <w:r>
        <w:rPr>
          <w:rFonts w:cstheme="minorHAnsi"/>
          <w:b/>
          <w:bCs/>
        </w:rPr>
        <w:t xml:space="preserve"> l’integrazione della pensione pubblica, tema molto sentito per il 75% dei genovesi. </w:t>
      </w:r>
      <w:r w:rsidRPr="0095404E">
        <w:rPr>
          <w:rFonts w:cstheme="minorHAnsi"/>
        </w:rPr>
        <w:t xml:space="preserve">A questa motivazione si affiancano l’interesse per </w:t>
      </w:r>
      <w:r w:rsidRPr="0095404E">
        <w:rPr>
          <w:rFonts w:cstheme="minorHAnsi"/>
          <w:b/>
          <w:bCs/>
        </w:rPr>
        <w:t>l’investimento del capitale</w:t>
      </w:r>
      <w:r w:rsidRPr="0095404E">
        <w:rPr>
          <w:rFonts w:cstheme="minorHAnsi"/>
        </w:rPr>
        <w:t xml:space="preserve">, la </w:t>
      </w:r>
      <w:r w:rsidRPr="0095404E">
        <w:rPr>
          <w:rFonts w:cstheme="minorHAnsi"/>
          <w:b/>
          <w:bCs/>
        </w:rPr>
        <w:t>protezione del nucleo familiare</w:t>
      </w:r>
      <w:r w:rsidRPr="0095404E">
        <w:rPr>
          <w:rFonts w:cstheme="minorHAnsi"/>
        </w:rPr>
        <w:t xml:space="preserve"> e la </w:t>
      </w:r>
      <w:r w:rsidRPr="0095404E">
        <w:rPr>
          <w:rFonts w:cstheme="minorHAnsi"/>
          <w:b/>
          <w:bCs/>
        </w:rPr>
        <w:t>pianificazione successoria</w:t>
      </w:r>
      <w:r w:rsidRPr="0095404E">
        <w:rPr>
          <w:rFonts w:cstheme="minorHAnsi"/>
        </w:rPr>
        <w:t>.</w:t>
      </w:r>
    </w:p>
    <w:p w14:paraId="40E460C6" w14:textId="3B418634" w:rsidR="0095404E" w:rsidRPr="0095404E" w:rsidRDefault="0095404E" w:rsidP="0095404E">
      <w:pPr>
        <w:spacing w:before="240"/>
        <w:jc w:val="both"/>
        <w:rPr>
          <w:rFonts w:cstheme="minorHAnsi"/>
        </w:rPr>
      </w:pPr>
      <w:r w:rsidRPr="0095404E">
        <w:rPr>
          <w:rFonts w:cstheme="minorHAnsi"/>
        </w:rPr>
        <w:t xml:space="preserve">Tuttavia, la conoscenza </w:t>
      </w:r>
      <w:r w:rsidR="00596060">
        <w:rPr>
          <w:rFonts w:cstheme="minorHAnsi"/>
        </w:rPr>
        <w:t>delle</w:t>
      </w:r>
      <w:r w:rsidRPr="0095404E">
        <w:rPr>
          <w:rFonts w:cstheme="minorHAnsi"/>
        </w:rPr>
        <w:t xml:space="preserve"> </w:t>
      </w:r>
      <w:r w:rsidRPr="0095404E">
        <w:rPr>
          <w:rFonts w:cstheme="minorHAnsi"/>
          <w:b/>
          <w:bCs/>
        </w:rPr>
        <w:t>polizze vita con Gestione Separata</w:t>
      </w:r>
      <w:r w:rsidRPr="0095404E">
        <w:rPr>
          <w:rFonts w:cstheme="minorHAnsi"/>
        </w:rPr>
        <w:t xml:space="preserve"> resta limitata: solo il </w:t>
      </w:r>
      <w:r w:rsidRPr="0095404E">
        <w:rPr>
          <w:rFonts w:cstheme="minorHAnsi"/>
          <w:b/>
          <w:bCs/>
        </w:rPr>
        <w:t>12% dei genovesi</w:t>
      </w:r>
      <w:r w:rsidRPr="0095404E">
        <w:rPr>
          <w:rFonts w:cstheme="minorHAnsi"/>
        </w:rPr>
        <w:t xml:space="preserve"> dichiara di conoscerle bene e di possederne una; il </w:t>
      </w:r>
      <w:r w:rsidRPr="0095404E">
        <w:rPr>
          <w:rFonts w:cstheme="minorHAnsi"/>
          <w:b/>
          <w:bCs/>
        </w:rPr>
        <w:t>13%</w:t>
      </w:r>
      <w:r w:rsidRPr="0095404E">
        <w:rPr>
          <w:rFonts w:cstheme="minorHAnsi"/>
        </w:rPr>
        <w:t xml:space="preserve"> ne ha una conoscenza parziale, pur non avendole mai sottoscritte. Il dato più critico: </w:t>
      </w:r>
      <w:r w:rsidRPr="0095404E">
        <w:rPr>
          <w:rFonts w:cstheme="minorHAnsi"/>
          <w:b/>
          <w:bCs/>
        </w:rPr>
        <w:t>1 genovese su 2 non ha mai sentito parlare di queste polizze</w:t>
      </w:r>
      <w:r w:rsidRPr="0095404E">
        <w:rPr>
          <w:rFonts w:cstheme="minorHAnsi"/>
        </w:rPr>
        <w:t>, evidenziando un</w:t>
      </w:r>
      <w:r w:rsidR="009E40A3">
        <w:rPr>
          <w:rFonts w:cstheme="minorHAnsi"/>
        </w:rPr>
        <w:t>’</w:t>
      </w:r>
      <w:r w:rsidRPr="0095404E">
        <w:rPr>
          <w:rFonts w:cstheme="minorHAnsi"/>
        </w:rPr>
        <w:t xml:space="preserve">importante </w:t>
      </w:r>
      <w:r w:rsidR="009E40A3">
        <w:rPr>
          <w:rFonts w:cstheme="minorHAnsi"/>
        </w:rPr>
        <w:t>lacuna informativa</w:t>
      </w:r>
      <w:r w:rsidRPr="0095404E">
        <w:rPr>
          <w:rFonts w:cstheme="minorHAnsi"/>
        </w:rPr>
        <w:t>.</w:t>
      </w:r>
    </w:p>
    <w:p w14:paraId="39B5FAB3" w14:textId="2D1BEEB7" w:rsidR="0095404E" w:rsidRPr="0095404E" w:rsidRDefault="00AC18DF" w:rsidP="0095404E">
      <w:pPr>
        <w:spacing w:before="240"/>
        <w:jc w:val="both"/>
        <w:rPr>
          <w:rFonts w:cstheme="minorHAnsi"/>
        </w:rPr>
      </w:pPr>
      <w:r>
        <w:rPr>
          <w:rFonts w:cstheme="minorHAnsi"/>
        </w:rPr>
        <w:t>Per quanto riguarda la decisione di acquisto</w:t>
      </w:r>
      <w:r w:rsidR="0095404E" w:rsidRPr="0095404E">
        <w:rPr>
          <w:rFonts w:cstheme="minorHAnsi"/>
        </w:rPr>
        <w:t xml:space="preserve">, </w:t>
      </w:r>
      <w:r>
        <w:rPr>
          <w:rFonts w:cstheme="minorHAnsi"/>
        </w:rPr>
        <w:t>i genovesi</w:t>
      </w:r>
      <w:r w:rsidRPr="0095404E">
        <w:rPr>
          <w:rFonts w:cstheme="minorHAnsi"/>
        </w:rPr>
        <w:t xml:space="preserve"> </w:t>
      </w:r>
      <w:r w:rsidR="0095404E" w:rsidRPr="0095404E">
        <w:rPr>
          <w:rFonts w:cstheme="minorHAnsi"/>
        </w:rPr>
        <w:t>mostra</w:t>
      </w:r>
      <w:r>
        <w:rPr>
          <w:rFonts w:cstheme="minorHAnsi"/>
        </w:rPr>
        <w:t>no</w:t>
      </w:r>
      <w:r w:rsidR="0095404E" w:rsidRPr="0095404E">
        <w:rPr>
          <w:rFonts w:cstheme="minorHAnsi"/>
        </w:rPr>
        <w:t xml:space="preserve"> </w:t>
      </w:r>
      <w:r w:rsidR="0095404E" w:rsidRPr="0095404E">
        <w:rPr>
          <w:rFonts w:cstheme="minorHAnsi"/>
          <w:b/>
          <w:bCs/>
        </w:rPr>
        <w:t>una parità tra modello collaborativo e individuale</w:t>
      </w:r>
      <w:r w:rsidR="00B11D18">
        <w:rPr>
          <w:rFonts w:cstheme="minorHAnsi"/>
          <w:b/>
          <w:bCs/>
        </w:rPr>
        <w:t xml:space="preserve"> </w:t>
      </w:r>
      <w:r w:rsidR="00B11D18">
        <w:rPr>
          <w:rFonts w:cstheme="minorHAnsi"/>
        </w:rPr>
        <w:t>all’interno del nucleo familiare</w:t>
      </w:r>
      <w:r w:rsidR="0095404E" w:rsidRPr="0095404E">
        <w:rPr>
          <w:rFonts w:cstheme="minorHAnsi"/>
        </w:rPr>
        <w:t>. Tuttavia, anche quando la scelta è personale, il partner è spesso coinvolto, segnale di una gestione orientata alla tutela condivisa e alla pianificazione del futuro.</w:t>
      </w:r>
    </w:p>
    <w:p w14:paraId="32E45EBC" w14:textId="337C9FD6" w:rsidR="0095404E" w:rsidRPr="0095404E" w:rsidRDefault="009D322E" w:rsidP="0095404E">
      <w:pPr>
        <w:spacing w:before="240"/>
        <w:jc w:val="both"/>
        <w:rPr>
          <w:rFonts w:cstheme="minorHAnsi"/>
        </w:rPr>
      </w:pPr>
      <w:r>
        <w:rPr>
          <w:rFonts w:cstheme="minorHAnsi"/>
        </w:rPr>
        <w:t>I</w:t>
      </w:r>
      <w:r w:rsidR="0095404E" w:rsidRPr="0095404E">
        <w:rPr>
          <w:rFonts w:cstheme="minorHAnsi"/>
        </w:rPr>
        <w:t xml:space="preserve"> risultati dell’indagine sottolineano come, in un territorio consapevole e attento come quello</w:t>
      </w:r>
      <w:r w:rsidR="00C329F1">
        <w:rPr>
          <w:rFonts w:cstheme="minorHAnsi"/>
        </w:rPr>
        <w:t xml:space="preserve"> della provincia di Genova</w:t>
      </w:r>
      <w:r w:rsidR="0095404E" w:rsidRPr="0095404E">
        <w:rPr>
          <w:rFonts w:cstheme="minorHAnsi"/>
        </w:rPr>
        <w:t>, le famiglie riconosc</w:t>
      </w:r>
      <w:r w:rsidR="00B11D18">
        <w:rPr>
          <w:rFonts w:cstheme="minorHAnsi"/>
        </w:rPr>
        <w:t>o</w:t>
      </w:r>
      <w:r w:rsidR="0095404E" w:rsidRPr="0095404E">
        <w:rPr>
          <w:rFonts w:cstheme="minorHAnsi"/>
        </w:rPr>
        <w:t xml:space="preserve">no l’importanza della protezione assicurativa, in particolare nel lungo periodo. Tuttavia, permangono </w:t>
      </w:r>
      <w:r w:rsidR="0095404E" w:rsidRPr="0095404E">
        <w:rPr>
          <w:rFonts w:cstheme="minorHAnsi"/>
          <w:b/>
          <w:bCs/>
        </w:rPr>
        <w:t xml:space="preserve">significativi </w:t>
      </w:r>
      <w:proofErr w:type="gramStart"/>
      <w:r w:rsidR="0095404E" w:rsidRPr="0095404E">
        <w:rPr>
          <w:rFonts w:cstheme="minorHAnsi"/>
          <w:b/>
          <w:bCs/>
        </w:rPr>
        <w:t>gap</w:t>
      </w:r>
      <w:proofErr w:type="gramEnd"/>
      <w:r w:rsidR="0095404E" w:rsidRPr="0095404E">
        <w:rPr>
          <w:rFonts w:cstheme="minorHAnsi"/>
          <w:b/>
          <w:bCs/>
        </w:rPr>
        <w:t xml:space="preserve"> informativi</w:t>
      </w:r>
      <w:r w:rsidR="0095404E" w:rsidRPr="0095404E">
        <w:rPr>
          <w:rFonts w:cstheme="minorHAnsi"/>
        </w:rPr>
        <w:t>, soprattutto su strumenti come le polizze vita con Gestione Separata.</w:t>
      </w:r>
      <w:r w:rsidR="0095404E">
        <w:rPr>
          <w:rFonts w:cstheme="minorHAnsi"/>
        </w:rPr>
        <w:t xml:space="preserve"> </w:t>
      </w:r>
      <w:r w:rsidR="0095404E" w:rsidRPr="0095404E">
        <w:rPr>
          <w:rFonts w:cstheme="minorHAnsi"/>
          <w:b/>
          <w:bCs/>
        </w:rPr>
        <w:t>Promuovere una cultura assicurativa più solida e diffusa</w:t>
      </w:r>
      <w:r w:rsidR="0095404E" w:rsidRPr="0095404E">
        <w:rPr>
          <w:rFonts w:cstheme="minorHAnsi"/>
        </w:rPr>
        <w:t xml:space="preserve"> rappresenta oggi un passo decisivo per aiutare i cittadini a prendere decisioni </w:t>
      </w:r>
      <w:r w:rsidR="00E334E2">
        <w:rPr>
          <w:rFonts w:cstheme="minorHAnsi"/>
        </w:rPr>
        <w:t xml:space="preserve">più informate e </w:t>
      </w:r>
      <w:r w:rsidR="0095404E" w:rsidRPr="0095404E">
        <w:rPr>
          <w:rFonts w:cstheme="minorHAnsi"/>
        </w:rPr>
        <w:t xml:space="preserve">consapevoli, tutelare il proprio benessere e costruire un futuro più </w:t>
      </w:r>
      <w:r w:rsidR="00E334E2">
        <w:rPr>
          <w:rFonts w:cstheme="minorHAnsi"/>
        </w:rPr>
        <w:t>protetto</w:t>
      </w:r>
      <w:r w:rsidR="0095404E" w:rsidRPr="0095404E">
        <w:rPr>
          <w:rFonts w:cstheme="minorHAnsi"/>
        </w:rPr>
        <w:t>.</w:t>
      </w:r>
    </w:p>
    <w:p w14:paraId="10385171" w14:textId="7E13198D" w:rsidR="00FC07C1" w:rsidRDefault="00FC07C1" w:rsidP="0095404E">
      <w:pPr>
        <w:spacing w:before="240"/>
        <w:jc w:val="both"/>
        <w:rPr>
          <w:rFonts w:cstheme="minorHAnsi"/>
        </w:rPr>
      </w:pPr>
    </w:p>
    <w:p w14:paraId="0CFFC934" w14:textId="77777777" w:rsidR="008017E3" w:rsidRPr="00B92B95" w:rsidRDefault="008017E3" w:rsidP="008017E3">
      <w:pPr>
        <w:spacing w:before="240"/>
        <w:jc w:val="both"/>
        <w:rPr>
          <w:rFonts w:cstheme="minorHAnsi"/>
        </w:rPr>
      </w:pPr>
    </w:p>
    <w:p w14:paraId="4A019AF3" w14:textId="77777777" w:rsidR="00FC07C1" w:rsidRPr="00FC07C1" w:rsidRDefault="00FC07C1" w:rsidP="00FC07C1">
      <w:pPr>
        <w:spacing w:after="0" w:line="240" w:lineRule="auto"/>
        <w:jc w:val="center"/>
        <w:rPr>
          <w:rFonts w:ascii="Calibri" w:eastAsia="Times New Roman" w:hAnsi="Calibri" w:cs="Calibri"/>
          <w:kern w:val="0"/>
          <w:sz w:val="24"/>
          <w:szCs w:val="24"/>
          <w:lang w:eastAsia="it-IT"/>
          <w14:ligatures w14:val="none"/>
        </w:rPr>
      </w:pPr>
      <w:r w:rsidRPr="00FC07C1">
        <w:rPr>
          <w:rFonts w:ascii="Calibri" w:eastAsia="Times New Roman" w:hAnsi="Calibri" w:cs="Calibri"/>
          <w:kern w:val="0"/>
          <w:sz w:val="24"/>
          <w:szCs w:val="24"/>
          <w:lang w:eastAsia="it-IT"/>
          <w14:ligatures w14:val="none"/>
        </w:rPr>
        <w:t>***</w:t>
      </w:r>
    </w:p>
    <w:p w14:paraId="5B4C5D2F" w14:textId="77777777" w:rsidR="00520CB9" w:rsidRDefault="00520CB9" w:rsidP="00FC07C1">
      <w:pPr>
        <w:spacing w:after="0" w:line="240" w:lineRule="auto"/>
        <w:jc w:val="both"/>
        <w:rPr>
          <w:rFonts w:ascii="Calibri" w:eastAsia="Times New Roman" w:hAnsi="Calibri" w:cs="Calibri"/>
          <w:b/>
          <w:color w:val="17365D"/>
          <w:kern w:val="0"/>
          <w:u w:color="00B0F0"/>
          <w14:ligatures w14:val="none"/>
        </w:rPr>
      </w:pPr>
    </w:p>
    <w:p w14:paraId="7A83373E" w14:textId="2FBF5C80"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r w:rsidRPr="00FC07C1">
        <w:rPr>
          <w:rFonts w:ascii="Calibri" w:eastAsia="Times New Roman" w:hAnsi="Calibri" w:cs="Calibri"/>
          <w:b/>
          <w:color w:val="17365D"/>
          <w:kern w:val="0"/>
          <w:u w:color="00B0F0"/>
          <w14:ligatures w14:val="none"/>
        </w:rPr>
        <w:lastRenderedPageBreak/>
        <w:t>Informazioni su Athora Italia</w:t>
      </w:r>
    </w:p>
    <w:p w14:paraId="16EB2D01"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p>
    <w:p w14:paraId="572A3B61" w14:textId="77777777" w:rsidR="00FC07C1" w:rsidRPr="00FC07C1" w:rsidRDefault="00FC07C1" w:rsidP="00FC07C1">
      <w:pPr>
        <w:spacing w:after="0" w:line="240" w:lineRule="auto"/>
        <w:jc w:val="both"/>
        <w:rPr>
          <w:rFonts w:ascii="Calibri" w:eastAsia="Times New Roman" w:hAnsi="Calibri" w:cs="Times New Roman"/>
          <w:kern w:val="0"/>
          <w14:ligatures w14:val="none"/>
        </w:rPr>
      </w:pPr>
      <w:r w:rsidRPr="00FC07C1">
        <w:rPr>
          <w:rFonts w:ascii="Calibri" w:eastAsia="Times New Roman" w:hAnsi="Calibri" w:cs="Times New Roman"/>
          <w:color w:val="000000"/>
          <w:kern w:val="0"/>
          <w14:ligatures w14:val="none"/>
        </w:rPr>
        <w:t>Athora Italia,</w:t>
      </w:r>
      <w:r w:rsidRPr="00FC07C1">
        <w:rPr>
          <w:rFonts w:ascii="Calibri" w:eastAsia="Times New Roman" w:hAnsi="Calibri" w:cs="Calibri"/>
          <w:kern w:val="0"/>
          <w:lang w:eastAsia="it-IT"/>
          <w14:ligatures w14:val="none"/>
        </w:rPr>
        <w:t xml:space="preserve"> Compagnia assicurativa vita del Gruppo Athora,</w:t>
      </w:r>
      <w:r w:rsidRPr="00FC07C1">
        <w:rPr>
          <w:rFonts w:ascii="Calibri" w:eastAsia="Times New Roman" w:hAnsi="Calibri" w:cs="Times New Roman"/>
          <w:color w:val="000000"/>
          <w:kern w:val="0"/>
          <w14:ligatures w14:val="none"/>
        </w:rPr>
        <w:t xml:space="preserve"> è specializzata nell’offerta di prodotti assicurativi vita, con forti ambizioni di crescita nel mercato assicurativo italiano, con solide radici ed una consolidata esperienza nella bancassicurazione grazie ad una storia iniziata oltre 50 anni fa. Offriamo </w:t>
      </w:r>
      <w:r w:rsidRPr="00FC07C1">
        <w:rPr>
          <w:rFonts w:ascii="Calibri" w:eastAsia="Times New Roman" w:hAnsi="Calibri" w:cs="Times New Roman"/>
          <w:kern w:val="0"/>
          <w14:ligatures w14:val="none"/>
        </w:rPr>
        <w:t>un’ampia gamma di soluzioni assicurative per soddisfare, in modo completo e innovativo, i bisogni di risparmio assicurativo, previdenza e protezione dei nostri clienti che serviamo attraverso un’ampia rete di partner distributivi composta da sportelli bancari, consulenti finanziari, private banker, agenzie e broker.</w:t>
      </w:r>
    </w:p>
    <w:p w14:paraId="0A34E50A" w14:textId="77777777" w:rsidR="00FC07C1" w:rsidRPr="00FC07C1" w:rsidRDefault="00FC07C1" w:rsidP="00FC07C1">
      <w:pPr>
        <w:spacing w:after="0" w:line="240" w:lineRule="auto"/>
        <w:jc w:val="both"/>
        <w:rPr>
          <w:rFonts w:ascii="Calibri" w:eastAsia="Times New Roman" w:hAnsi="Calibri" w:cs="Calibri"/>
          <w:kern w:val="0"/>
          <w:sz w:val="16"/>
          <w:szCs w:val="16"/>
          <w:highlight w:val="yellow"/>
          <w14:ligatures w14:val="none"/>
        </w:rPr>
      </w:pPr>
    </w:p>
    <w:p w14:paraId="2A435A38" w14:textId="77777777" w:rsidR="00FC07C1" w:rsidRPr="00FC07C1" w:rsidRDefault="00FC07C1" w:rsidP="00FC07C1">
      <w:pPr>
        <w:spacing w:after="0" w:line="276" w:lineRule="auto"/>
        <w:jc w:val="both"/>
        <w:rPr>
          <w:rFonts w:ascii="Calibri" w:eastAsia="SimSun" w:hAnsi="Calibri" w:cs="Mangal"/>
          <w:kern w:val="0"/>
          <w14:ligatures w14:val="none"/>
        </w:rPr>
      </w:pPr>
      <w:r w:rsidRPr="00FC07C1">
        <w:rPr>
          <w:rFonts w:ascii="Calibri" w:eastAsia="SimSun" w:hAnsi="Calibri" w:cs="Mangal"/>
          <w:kern w:val="0"/>
          <w14:ligatures w14:val="none"/>
        </w:rPr>
        <w:t xml:space="preserve">Per informazioni: </w:t>
      </w:r>
      <w:hyperlink r:id="rId6" w:history="1">
        <w:r w:rsidRPr="00FC07C1">
          <w:rPr>
            <w:rFonts w:ascii="Calibri" w:eastAsia="SimSun" w:hAnsi="Calibri" w:cs="Mangal"/>
            <w:kern w:val="0"/>
            <w14:ligatures w14:val="none"/>
          </w:rPr>
          <w:t>www.athora.it</w:t>
        </w:r>
      </w:hyperlink>
      <w:r w:rsidRPr="00FC07C1">
        <w:rPr>
          <w:rFonts w:ascii="Calibri" w:eastAsia="SimSun" w:hAnsi="Calibri" w:cs="Mangal"/>
          <w:kern w:val="0"/>
          <w14:ligatures w14:val="none"/>
        </w:rPr>
        <w:t xml:space="preserve">; </w:t>
      </w:r>
    </w:p>
    <w:p w14:paraId="74E8E8E9" w14:textId="77777777" w:rsidR="00FC07C1" w:rsidRPr="00CD3D90" w:rsidRDefault="00FC07C1" w:rsidP="00FC07C1">
      <w:pPr>
        <w:spacing w:after="0" w:line="276" w:lineRule="auto"/>
        <w:jc w:val="both"/>
        <w:rPr>
          <w:rFonts w:ascii="Calibri" w:eastAsia="SimSun" w:hAnsi="Calibri" w:cs="Mangal"/>
          <w:kern w:val="0"/>
          <w:lang w:val="en-US"/>
          <w14:ligatures w14:val="none"/>
        </w:rPr>
      </w:pPr>
      <w:r w:rsidRPr="00CD3D90">
        <w:rPr>
          <w:rFonts w:ascii="Calibri" w:eastAsia="SimSun" w:hAnsi="Calibri" w:cs="Mangal"/>
          <w:kern w:val="0"/>
          <w:lang w:val="en-US"/>
          <w14:ligatures w14:val="none"/>
        </w:rPr>
        <w:t xml:space="preserve">LinkedIn: </w:t>
      </w:r>
      <w:hyperlink r:id="rId7" w:history="1">
        <w:r w:rsidRPr="00CD3D90">
          <w:rPr>
            <w:rFonts w:ascii="Calibri" w:eastAsia="SimSun" w:hAnsi="Calibri" w:cs="Mangal"/>
            <w:kern w:val="0"/>
            <w:lang w:val="en-US"/>
            <w14:ligatures w14:val="none"/>
          </w:rPr>
          <w:t>www.linkedin.com/company/athora-italia</w:t>
        </w:r>
      </w:hyperlink>
    </w:p>
    <w:p w14:paraId="263C394B" w14:textId="77777777" w:rsidR="00FC07C1" w:rsidRPr="00CD3D90" w:rsidRDefault="00FC07C1" w:rsidP="00FC07C1">
      <w:pPr>
        <w:spacing w:after="0" w:line="276" w:lineRule="auto"/>
        <w:jc w:val="both"/>
        <w:rPr>
          <w:rFonts w:ascii="Calibri" w:eastAsia="SimSun" w:hAnsi="Calibri" w:cs="Mangal"/>
          <w:kern w:val="0"/>
          <w:sz w:val="18"/>
          <w:szCs w:val="18"/>
          <w:lang w:val="en-US"/>
          <w14:ligatures w14:val="none"/>
        </w:rPr>
      </w:pPr>
    </w:p>
    <w:p w14:paraId="6F6EB574" w14:textId="77777777" w:rsidR="00FC07C1" w:rsidRPr="00CD3D90" w:rsidRDefault="00FC07C1" w:rsidP="00FC07C1">
      <w:pPr>
        <w:spacing w:after="0" w:line="276" w:lineRule="auto"/>
        <w:jc w:val="both"/>
        <w:rPr>
          <w:rFonts w:ascii="Calibri" w:eastAsia="Times New Roman" w:hAnsi="Calibri" w:cs="Calibri"/>
          <w:kern w:val="0"/>
          <w:sz w:val="18"/>
          <w:szCs w:val="18"/>
          <w:lang w:val="en-US"/>
          <w14:ligatures w14:val="none"/>
        </w:rPr>
      </w:pPr>
    </w:p>
    <w:p w14:paraId="053420B9" w14:textId="77777777" w:rsidR="00FC07C1" w:rsidRPr="00FC07C1" w:rsidRDefault="00FC07C1" w:rsidP="00FC07C1">
      <w:pPr>
        <w:spacing w:after="0" w:line="276" w:lineRule="auto"/>
        <w:jc w:val="both"/>
        <w:rPr>
          <w:rFonts w:ascii="Calibri" w:eastAsia="Times New Roman" w:hAnsi="Calibri" w:cs="Times New Roman"/>
          <w:b/>
          <w:color w:val="17365D"/>
          <w:kern w:val="0"/>
          <w14:ligatures w14:val="none"/>
        </w:rPr>
      </w:pPr>
      <w:r w:rsidRPr="00FC07C1">
        <w:rPr>
          <w:rFonts w:ascii="Calibri" w:eastAsia="Times New Roman" w:hAnsi="Calibri" w:cs="Times New Roman"/>
          <w:b/>
          <w:color w:val="17365D"/>
          <w:kern w:val="0"/>
          <w14:ligatures w14:val="none"/>
        </w:rPr>
        <w:t>Per ulteriori informazioni:</w:t>
      </w:r>
    </w:p>
    <w:p w14:paraId="3BD81D2B" w14:textId="77777777" w:rsidR="00FC07C1" w:rsidRPr="00FC07C1" w:rsidRDefault="00FC07C1" w:rsidP="00FC07C1">
      <w:pPr>
        <w:spacing w:after="0" w:line="276" w:lineRule="auto"/>
        <w:jc w:val="both"/>
        <w:rPr>
          <w:rFonts w:ascii="Calibri" w:eastAsia="Times New Roman" w:hAnsi="Calibri" w:cs="Times New Roman"/>
          <w:kern w:val="0"/>
          <w14:ligatures w14:val="none"/>
        </w:rPr>
      </w:pPr>
    </w:p>
    <w:p w14:paraId="6CE3CACB" w14:textId="77777777" w:rsidR="00FC07C1" w:rsidRPr="00FC07C1" w:rsidRDefault="00FC07C1" w:rsidP="00FC07C1">
      <w:pPr>
        <w:spacing w:after="0" w:line="276" w:lineRule="auto"/>
        <w:jc w:val="both"/>
        <w:rPr>
          <w:rFonts w:ascii="Calibri" w:eastAsia="Calibri" w:hAnsi="Calibri" w:cs="Calibri"/>
          <w:b/>
          <w:bCs/>
          <w:color w:val="002060"/>
          <w:kern w:val="0"/>
          <w14:ligatures w14:val="none"/>
        </w:rPr>
      </w:pPr>
      <w:r w:rsidRPr="00FC07C1">
        <w:rPr>
          <w:rFonts w:ascii="Calibri" w:eastAsia="Calibri" w:hAnsi="Calibri" w:cs="Calibri"/>
          <w:b/>
          <w:bCs/>
          <w:color w:val="002060"/>
          <w:kern w:val="0"/>
          <w14:ligatures w14:val="none"/>
        </w:rPr>
        <w:t>Athora Italia, Media Contact:</w:t>
      </w:r>
    </w:p>
    <w:p w14:paraId="79E7B538" w14:textId="77777777" w:rsidR="00FC07C1" w:rsidRPr="00FC07C1" w:rsidRDefault="00FC07C1" w:rsidP="00FC07C1">
      <w:pPr>
        <w:autoSpaceDE w:val="0"/>
        <w:autoSpaceDN w:val="0"/>
        <w:adjustRightInd w:val="0"/>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color w:val="000000"/>
          <w:kern w:val="0"/>
          <w14:ligatures w14:val="none"/>
        </w:rPr>
        <w:t xml:space="preserve">Close to Media: +39 02 70006237 </w:t>
      </w:r>
    </w:p>
    <w:p w14:paraId="49201FB4" w14:textId="11CCDF88" w:rsidR="00FC07C1" w:rsidRPr="00FC07C1" w:rsidRDefault="00FC07C1" w:rsidP="00FC07C1">
      <w:pPr>
        <w:autoSpaceDE w:val="0"/>
        <w:autoSpaceDN w:val="0"/>
        <w:adjustRightInd w:val="0"/>
        <w:spacing w:after="0" w:line="276" w:lineRule="auto"/>
        <w:jc w:val="both"/>
        <w:rPr>
          <w:rFonts w:ascii="Calibri" w:eastAsia="Times New Roman" w:hAnsi="Calibri" w:cs="Calibri"/>
          <w:kern w:val="0"/>
          <w14:ligatures w14:val="none"/>
        </w:rPr>
      </w:pPr>
      <w:r w:rsidRPr="00FC07C1">
        <w:rPr>
          <w:rFonts w:ascii="Calibri" w:eastAsia="Times New Roman" w:hAnsi="Calibri" w:cs="Calibri"/>
          <w:color w:val="000000"/>
          <w:kern w:val="0"/>
          <w14:ligatures w14:val="none"/>
        </w:rPr>
        <w:t xml:space="preserve">Davide </w:t>
      </w:r>
      <w:r w:rsidR="00B11D18">
        <w:rPr>
          <w:rFonts w:ascii="Calibri" w:eastAsia="Times New Roman" w:hAnsi="Calibri" w:cs="Calibri"/>
          <w:color w:val="000000"/>
          <w:kern w:val="0"/>
          <w14:ligatures w14:val="none"/>
        </w:rPr>
        <w:t>d</w:t>
      </w:r>
      <w:r w:rsidRPr="00FC07C1">
        <w:rPr>
          <w:rFonts w:ascii="Calibri" w:eastAsia="Times New Roman" w:hAnsi="Calibri" w:cs="Calibri"/>
          <w:color w:val="000000"/>
          <w:kern w:val="0"/>
          <w14:ligatures w14:val="none"/>
        </w:rPr>
        <w:t>i Battista - davide.dibattista@closetomedia.it</w:t>
      </w:r>
      <w:r w:rsidRPr="00FC07C1">
        <w:rPr>
          <w:rFonts w:ascii="Calibri" w:eastAsia="Times New Roman" w:hAnsi="Calibri" w:cs="Calibri"/>
          <w:kern w:val="0"/>
          <w14:ligatures w14:val="none"/>
        </w:rPr>
        <w:t xml:space="preserve"> </w:t>
      </w:r>
    </w:p>
    <w:p w14:paraId="706D07B1" w14:textId="77777777" w:rsidR="00FC07C1" w:rsidRPr="00FC07C1" w:rsidRDefault="00FC07C1" w:rsidP="00FC07C1">
      <w:pPr>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kern w:val="0"/>
          <w14:ligatures w14:val="none"/>
        </w:rPr>
        <w:t xml:space="preserve">Elisa Gioia – </w:t>
      </w:r>
      <w:r w:rsidRPr="00FC07C1">
        <w:rPr>
          <w:rFonts w:ascii="Calibri" w:eastAsia="Times New Roman" w:hAnsi="Calibri" w:cs="Times New Roman"/>
          <w:kern w:val="0"/>
          <w14:ligatures w14:val="none"/>
        </w:rPr>
        <w:t>elisa.gioia@closetomedia.it</w:t>
      </w:r>
    </w:p>
    <w:p w14:paraId="21CD0032" w14:textId="77777777" w:rsidR="00FC07C1" w:rsidRPr="00FC07C1" w:rsidRDefault="00FC07C1" w:rsidP="00FC07C1">
      <w:pPr>
        <w:spacing w:after="0" w:line="276" w:lineRule="auto"/>
        <w:jc w:val="both"/>
        <w:rPr>
          <w:rFonts w:ascii="Calibri" w:eastAsia="Times New Roman" w:hAnsi="Calibri" w:cs="Calibri"/>
          <w:kern w:val="0"/>
          <w14:ligatures w14:val="none"/>
        </w:rPr>
      </w:pPr>
      <w:r w:rsidRPr="00FC07C1">
        <w:rPr>
          <w:rFonts w:ascii="Calibri" w:eastAsia="Times New Roman" w:hAnsi="Calibri" w:cs="Calibri"/>
          <w:kern w:val="0"/>
          <w14:ligatures w14:val="none"/>
        </w:rPr>
        <w:t>Marco Gabrieli – marco.gabrieli@closetomedia.it</w:t>
      </w:r>
    </w:p>
    <w:p w14:paraId="24B1D8E0" w14:textId="77777777" w:rsidR="00C46C15" w:rsidRDefault="00C46C15"/>
    <w:sectPr w:rsidR="00C46C15" w:rsidSect="00617688">
      <w:headerReference w:type="default" r:id="rId8"/>
      <w:pgSz w:w="11906" w:h="16838"/>
      <w:pgMar w:top="2141" w:right="1134" w:bottom="426"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126" w14:textId="77777777" w:rsidR="00180B31" w:rsidRDefault="00180B31" w:rsidP="00B92B95">
      <w:pPr>
        <w:spacing w:after="0" w:line="240" w:lineRule="auto"/>
      </w:pPr>
      <w:r>
        <w:separator/>
      </w:r>
    </w:p>
  </w:endnote>
  <w:endnote w:type="continuationSeparator" w:id="0">
    <w:p w14:paraId="1245C0F0" w14:textId="77777777" w:rsidR="00180B31" w:rsidRDefault="00180B31" w:rsidP="00B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303" w14:textId="77777777" w:rsidR="00180B31" w:rsidRDefault="00180B31" w:rsidP="00B92B95">
      <w:pPr>
        <w:spacing w:after="0" w:line="240" w:lineRule="auto"/>
      </w:pPr>
      <w:r>
        <w:separator/>
      </w:r>
    </w:p>
  </w:footnote>
  <w:footnote w:type="continuationSeparator" w:id="0">
    <w:p w14:paraId="217B391B" w14:textId="77777777" w:rsidR="00180B31" w:rsidRDefault="00180B31" w:rsidP="00B92B95">
      <w:pPr>
        <w:spacing w:after="0" w:line="240" w:lineRule="auto"/>
      </w:pPr>
      <w:r>
        <w:continuationSeparator/>
      </w:r>
    </w:p>
  </w:footnote>
  <w:footnote w:id="1">
    <w:p w14:paraId="2AD540FC" w14:textId="77777777" w:rsidR="00B11D18" w:rsidRDefault="00B11D18" w:rsidP="00B11D18">
      <w:pPr>
        <w:pStyle w:val="Testonotaapidipagina"/>
        <w:rPr>
          <w:color w:val="767171" w:themeColor="background2" w:themeShade="80"/>
          <w:sz w:val="18"/>
          <w:szCs w:val="18"/>
          <w:lang w:val="it-IT"/>
        </w:rPr>
      </w:pPr>
      <w:r>
        <w:rPr>
          <w:rStyle w:val="Rimandonotaapidipagina"/>
          <w:rFonts w:eastAsiaTheme="majorEastAsia"/>
          <w:color w:val="767171" w:themeColor="background2" w:themeShade="80"/>
          <w:sz w:val="18"/>
          <w:szCs w:val="18"/>
        </w:rPr>
        <w:footnoteRef/>
      </w:r>
      <w:r>
        <w:rPr>
          <w:color w:val="767171" w:themeColor="background2" w:themeShade="80"/>
          <w:sz w:val="18"/>
          <w:szCs w:val="18"/>
          <w:lang w:val="it-IT"/>
        </w:rPr>
        <w:t>Popolazione 35-70 anni, periodo di rilevazione aprile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CFD" w14:textId="4D1FF674" w:rsidR="00B92B95" w:rsidRDefault="00B92B95">
    <w:pPr>
      <w:pStyle w:val="Intestazione"/>
    </w:pPr>
    <w:r>
      <w:rPr>
        <w:noProof/>
      </w:rPr>
      <w:drawing>
        <wp:anchor distT="0" distB="0" distL="114300" distR="114300" simplePos="0" relativeHeight="251659264" behindDoc="0" locked="0" layoutInCell="1" allowOverlap="1" wp14:anchorId="5E3E9F00" wp14:editId="23669B31">
          <wp:simplePos x="0" y="0"/>
          <wp:positionH relativeFrom="margin">
            <wp:posOffset>4105275</wp:posOffset>
          </wp:positionH>
          <wp:positionV relativeFrom="paragraph">
            <wp:posOffset>174625</wp:posOffset>
          </wp:positionV>
          <wp:extent cx="1838325" cy="723265"/>
          <wp:effectExtent l="0" t="0" r="0" b="635"/>
          <wp:wrapThrough wrapText="bothSides">
            <wp:wrapPolygon edited="0">
              <wp:start x="8730" y="7965"/>
              <wp:lineTo x="7163" y="9103"/>
              <wp:lineTo x="1343" y="16499"/>
              <wp:lineTo x="1567" y="21050"/>
              <wp:lineTo x="19921" y="21050"/>
              <wp:lineTo x="21040" y="17068"/>
              <wp:lineTo x="18802" y="14792"/>
              <wp:lineTo x="10968" y="7965"/>
              <wp:lineTo x="8730" y="7965"/>
            </wp:wrapPolygon>
          </wp:wrapThrough>
          <wp:docPr id="1280314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0042"/>
                  <a:stretch/>
                </pic:blipFill>
                <pic:spPr bwMode="auto">
                  <a:xfrm>
                    <a:off x="0" y="0"/>
                    <a:ext cx="1838325" cy="723265"/>
                  </a:xfrm>
                  <a:prstGeom prst="rect">
                    <a:avLst/>
                  </a:prstGeom>
                  <a:noFill/>
                  <a:ln>
                    <a:noFill/>
                  </a:ln>
                  <a:extLst>
                    <a:ext uri="{53640926-AAD7-44D8-BBD7-CCE9431645EC}">
                      <a14:shadowObscured xmlns:a14="http://schemas.microsoft.com/office/drawing/2010/main"/>
                    </a:ext>
                  </a:extLst>
                </pic:spPr>
              </pic:pic>
            </a:graphicData>
          </a:graphic>
        </wp:anchor>
      </w:drawing>
    </w:r>
    <w:r w:rsidRPr="009F0B0A">
      <w:rPr>
        <w:rFonts w:cs="Calibri"/>
        <w:b/>
        <w:noProof/>
        <w:color w:val="002060"/>
        <w:sz w:val="32"/>
        <w:szCs w:val="32"/>
        <w:lang w:val="fr-FR"/>
      </w:rPr>
      <w:drawing>
        <wp:anchor distT="0" distB="0" distL="114300" distR="114300" simplePos="0" relativeHeight="251660288" behindDoc="0" locked="0" layoutInCell="1" allowOverlap="1" wp14:anchorId="325C78A0" wp14:editId="208C5317">
          <wp:simplePos x="0" y="0"/>
          <wp:positionH relativeFrom="margin">
            <wp:posOffset>0</wp:posOffset>
          </wp:positionH>
          <wp:positionV relativeFrom="paragraph">
            <wp:posOffset>370205</wp:posOffset>
          </wp:positionV>
          <wp:extent cx="2019300" cy="530225"/>
          <wp:effectExtent l="0" t="0" r="0" b="3175"/>
          <wp:wrapThrough wrapText="bothSides">
            <wp:wrapPolygon edited="0">
              <wp:start x="0" y="0"/>
              <wp:lineTo x="0" y="20953"/>
              <wp:lineTo x="21396" y="20953"/>
              <wp:lineTo x="21396" y="0"/>
              <wp:lineTo x="0" y="0"/>
            </wp:wrapPolygon>
          </wp:wrapThrough>
          <wp:docPr id="2068334496" name="Immagine 20683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30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95"/>
    <w:rsid w:val="000141E5"/>
    <w:rsid w:val="00015081"/>
    <w:rsid w:val="00035488"/>
    <w:rsid w:val="00062C37"/>
    <w:rsid w:val="00077329"/>
    <w:rsid w:val="00092700"/>
    <w:rsid w:val="000E36C0"/>
    <w:rsid w:val="000E3781"/>
    <w:rsid w:val="0012687F"/>
    <w:rsid w:val="00130ADD"/>
    <w:rsid w:val="00134A7E"/>
    <w:rsid w:val="001738C5"/>
    <w:rsid w:val="00175DC1"/>
    <w:rsid w:val="00180B31"/>
    <w:rsid w:val="001A200D"/>
    <w:rsid w:val="001F06A7"/>
    <w:rsid w:val="00216016"/>
    <w:rsid w:val="00220EAF"/>
    <w:rsid w:val="00264AD8"/>
    <w:rsid w:val="002B135C"/>
    <w:rsid w:val="002F2222"/>
    <w:rsid w:val="003213B8"/>
    <w:rsid w:val="00327CA9"/>
    <w:rsid w:val="003377F9"/>
    <w:rsid w:val="0034645F"/>
    <w:rsid w:val="003511AC"/>
    <w:rsid w:val="0037102B"/>
    <w:rsid w:val="00397048"/>
    <w:rsid w:val="003B1A9E"/>
    <w:rsid w:val="003B45A4"/>
    <w:rsid w:val="003D5F85"/>
    <w:rsid w:val="00486D6C"/>
    <w:rsid w:val="0049054B"/>
    <w:rsid w:val="0050133F"/>
    <w:rsid w:val="00503B24"/>
    <w:rsid w:val="00520CB9"/>
    <w:rsid w:val="00551AB7"/>
    <w:rsid w:val="00596060"/>
    <w:rsid w:val="005B2932"/>
    <w:rsid w:val="005C4F83"/>
    <w:rsid w:val="0060565B"/>
    <w:rsid w:val="00617688"/>
    <w:rsid w:val="00625E48"/>
    <w:rsid w:val="006A41CE"/>
    <w:rsid w:val="006A6519"/>
    <w:rsid w:val="007532D8"/>
    <w:rsid w:val="00767958"/>
    <w:rsid w:val="0077173B"/>
    <w:rsid w:val="00785266"/>
    <w:rsid w:val="0079618E"/>
    <w:rsid w:val="007D5822"/>
    <w:rsid w:val="008017E3"/>
    <w:rsid w:val="00812E9E"/>
    <w:rsid w:val="00831265"/>
    <w:rsid w:val="00865D61"/>
    <w:rsid w:val="008731A1"/>
    <w:rsid w:val="00896D6D"/>
    <w:rsid w:val="008C06FF"/>
    <w:rsid w:val="008C7FDA"/>
    <w:rsid w:val="009206EF"/>
    <w:rsid w:val="0095404E"/>
    <w:rsid w:val="00967E63"/>
    <w:rsid w:val="0098209D"/>
    <w:rsid w:val="009D322E"/>
    <w:rsid w:val="009E40A3"/>
    <w:rsid w:val="00A256C5"/>
    <w:rsid w:val="00A327EC"/>
    <w:rsid w:val="00A40315"/>
    <w:rsid w:val="00A5494C"/>
    <w:rsid w:val="00A55E93"/>
    <w:rsid w:val="00AC18DF"/>
    <w:rsid w:val="00AF242D"/>
    <w:rsid w:val="00B04F28"/>
    <w:rsid w:val="00B11D18"/>
    <w:rsid w:val="00B47513"/>
    <w:rsid w:val="00B67807"/>
    <w:rsid w:val="00B92B95"/>
    <w:rsid w:val="00BA2AA4"/>
    <w:rsid w:val="00BE3216"/>
    <w:rsid w:val="00BE6DF6"/>
    <w:rsid w:val="00C07B31"/>
    <w:rsid w:val="00C329F1"/>
    <w:rsid w:val="00C46C15"/>
    <w:rsid w:val="00CD3D90"/>
    <w:rsid w:val="00CF01C0"/>
    <w:rsid w:val="00CF11E2"/>
    <w:rsid w:val="00D10CB1"/>
    <w:rsid w:val="00D37C20"/>
    <w:rsid w:val="00D86835"/>
    <w:rsid w:val="00DD1D14"/>
    <w:rsid w:val="00DE39E8"/>
    <w:rsid w:val="00DE6295"/>
    <w:rsid w:val="00DF54A3"/>
    <w:rsid w:val="00E03DED"/>
    <w:rsid w:val="00E334E2"/>
    <w:rsid w:val="00E77582"/>
    <w:rsid w:val="00EA1A05"/>
    <w:rsid w:val="00EA2513"/>
    <w:rsid w:val="00ED0F3E"/>
    <w:rsid w:val="00ED3050"/>
    <w:rsid w:val="00EF192C"/>
    <w:rsid w:val="00F11D64"/>
    <w:rsid w:val="00F21994"/>
    <w:rsid w:val="00F30DB3"/>
    <w:rsid w:val="00F435B3"/>
    <w:rsid w:val="00F50292"/>
    <w:rsid w:val="00F5189C"/>
    <w:rsid w:val="00F65F4E"/>
    <w:rsid w:val="00F779A4"/>
    <w:rsid w:val="00F96CD6"/>
    <w:rsid w:val="00FC0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716C"/>
  <w15:chartTrackingRefBased/>
  <w15:docId w15:val="{71B7B5DD-937C-4BA3-AA29-F6013CD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2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92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92B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92B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92B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92B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2B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2B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2B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B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92B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92B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92B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92B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92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2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2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2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2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2B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2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2B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2B95"/>
    <w:rPr>
      <w:i/>
      <w:iCs/>
      <w:color w:val="404040" w:themeColor="text1" w:themeTint="BF"/>
    </w:rPr>
  </w:style>
  <w:style w:type="paragraph" w:styleId="Paragrafoelenco">
    <w:name w:val="List Paragraph"/>
    <w:basedOn w:val="Normale"/>
    <w:uiPriority w:val="34"/>
    <w:qFormat/>
    <w:rsid w:val="00B92B95"/>
    <w:pPr>
      <w:ind w:left="720"/>
      <w:contextualSpacing/>
    </w:pPr>
  </w:style>
  <w:style w:type="character" w:styleId="Enfasiintensa">
    <w:name w:val="Intense Emphasis"/>
    <w:basedOn w:val="Carpredefinitoparagrafo"/>
    <w:uiPriority w:val="21"/>
    <w:qFormat/>
    <w:rsid w:val="00B92B95"/>
    <w:rPr>
      <w:i/>
      <w:iCs/>
      <w:color w:val="2F5496" w:themeColor="accent1" w:themeShade="BF"/>
    </w:rPr>
  </w:style>
  <w:style w:type="paragraph" w:styleId="Citazioneintensa">
    <w:name w:val="Intense Quote"/>
    <w:basedOn w:val="Normale"/>
    <w:next w:val="Normale"/>
    <w:link w:val="CitazioneintensaCarattere"/>
    <w:uiPriority w:val="30"/>
    <w:qFormat/>
    <w:rsid w:val="00B9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92B95"/>
    <w:rPr>
      <w:i/>
      <w:iCs/>
      <w:color w:val="2F5496" w:themeColor="accent1" w:themeShade="BF"/>
    </w:rPr>
  </w:style>
  <w:style w:type="character" w:styleId="Riferimentointenso">
    <w:name w:val="Intense Reference"/>
    <w:basedOn w:val="Carpredefinitoparagrafo"/>
    <w:uiPriority w:val="32"/>
    <w:qFormat/>
    <w:rsid w:val="00B92B95"/>
    <w:rPr>
      <w:b/>
      <w:bCs/>
      <w:smallCaps/>
      <w:color w:val="2F5496" w:themeColor="accent1" w:themeShade="BF"/>
      <w:spacing w:val="5"/>
    </w:rPr>
  </w:style>
  <w:style w:type="paragraph" w:styleId="Intestazione">
    <w:name w:val="header"/>
    <w:basedOn w:val="Normale"/>
    <w:link w:val="IntestazioneCarattere"/>
    <w:uiPriority w:val="99"/>
    <w:unhideWhenUsed/>
    <w:rsid w:val="00B92B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95"/>
  </w:style>
  <w:style w:type="paragraph" w:styleId="Pidipagina">
    <w:name w:val="footer"/>
    <w:basedOn w:val="Normale"/>
    <w:link w:val="PidipaginaCarattere"/>
    <w:uiPriority w:val="99"/>
    <w:unhideWhenUsed/>
    <w:rsid w:val="00B92B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95"/>
  </w:style>
  <w:style w:type="character" w:styleId="Rimandonotaapidipagina">
    <w:name w:val="footnote reference"/>
    <w:basedOn w:val="Carpredefinitoparagrafo"/>
    <w:uiPriority w:val="99"/>
    <w:rsid w:val="00617688"/>
    <w:rPr>
      <w:vertAlign w:val="superscript"/>
    </w:rPr>
  </w:style>
  <w:style w:type="paragraph" w:styleId="Testonotaapidipagina">
    <w:name w:val="footnote text"/>
    <w:basedOn w:val="Normale"/>
    <w:link w:val="TestonotaapidipaginaCarattere"/>
    <w:uiPriority w:val="7"/>
    <w:rsid w:val="00617688"/>
    <w:pPr>
      <w:spacing w:after="0" w:line="240" w:lineRule="auto"/>
    </w:pPr>
    <w:rPr>
      <w:rFonts w:eastAsia="Times New Roman" w:cs="Times New Roman"/>
      <w:kern w:val="0"/>
      <w:sz w:val="20"/>
      <w:szCs w:val="20"/>
      <w:lang w:val="en-GB"/>
      <w14:ligatures w14:val="none"/>
    </w:rPr>
  </w:style>
  <w:style w:type="character" w:customStyle="1" w:styleId="TestonotaapidipaginaCarattere">
    <w:name w:val="Testo nota a piè di pagina Carattere"/>
    <w:basedOn w:val="Carpredefinitoparagrafo"/>
    <w:link w:val="Testonotaapidipagina"/>
    <w:uiPriority w:val="7"/>
    <w:rsid w:val="00617688"/>
    <w:rPr>
      <w:rFonts w:eastAsia="Times New Roman" w:cs="Times New Roman"/>
      <w:kern w:val="0"/>
      <w:sz w:val="20"/>
      <w:szCs w:val="20"/>
      <w:lang w:val="en-GB"/>
      <w14:ligatures w14:val="none"/>
    </w:rPr>
  </w:style>
  <w:style w:type="paragraph" w:styleId="Revisione">
    <w:name w:val="Revision"/>
    <w:hidden/>
    <w:uiPriority w:val="99"/>
    <w:semiHidden/>
    <w:rsid w:val="00DE39E8"/>
    <w:pPr>
      <w:spacing w:after="0" w:line="240" w:lineRule="auto"/>
    </w:pPr>
  </w:style>
  <w:style w:type="paragraph" w:styleId="NormaleWeb">
    <w:name w:val="Normal (Web)"/>
    <w:basedOn w:val="Normale"/>
    <w:uiPriority w:val="99"/>
    <w:semiHidden/>
    <w:unhideWhenUsed/>
    <w:rsid w:val="008017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1392">
      <w:bodyDiv w:val="1"/>
      <w:marLeft w:val="0"/>
      <w:marRight w:val="0"/>
      <w:marTop w:val="0"/>
      <w:marBottom w:val="0"/>
      <w:divBdr>
        <w:top w:val="none" w:sz="0" w:space="0" w:color="auto"/>
        <w:left w:val="none" w:sz="0" w:space="0" w:color="auto"/>
        <w:bottom w:val="none" w:sz="0" w:space="0" w:color="auto"/>
        <w:right w:val="none" w:sz="0" w:space="0" w:color="auto"/>
      </w:divBdr>
    </w:div>
    <w:div w:id="281965626">
      <w:bodyDiv w:val="1"/>
      <w:marLeft w:val="0"/>
      <w:marRight w:val="0"/>
      <w:marTop w:val="0"/>
      <w:marBottom w:val="0"/>
      <w:divBdr>
        <w:top w:val="none" w:sz="0" w:space="0" w:color="auto"/>
        <w:left w:val="none" w:sz="0" w:space="0" w:color="auto"/>
        <w:bottom w:val="none" w:sz="0" w:space="0" w:color="auto"/>
        <w:right w:val="none" w:sz="0" w:space="0" w:color="auto"/>
      </w:divBdr>
    </w:div>
    <w:div w:id="301691035">
      <w:bodyDiv w:val="1"/>
      <w:marLeft w:val="0"/>
      <w:marRight w:val="0"/>
      <w:marTop w:val="0"/>
      <w:marBottom w:val="0"/>
      <w:divBdr>
        <w:top w:val="none" w:sz="0" w:space="0" w:color="auto"/>
        <w:left w:val="none" w:sz="0" w:space="0" w:color="auto"/>
        <w:bottom w:val="none" w:sz="0" w:space="0" w:color="auto"/>
        <w:right w:val="none" w:sz="0" w:space="0" w:color="auto"/>
      </w:divBdr>
    </w:div>
    <w:div w:id="835458963">
      <w:bodyDiv w:val="1"/>
      <w:marLeft w:val="0"/>
      <w:marRight w:val="0"/>
      <w:marTop w:val="0"/>
      <w:marBottom w:val="0"/>
      <w:divBdr>
        <w:top w:val="none" w:sz="0" w:space="0" w:color="auto"/>
        <w:left w:val="none" w:sz="0" w:space="0" w:color="auto"/>
        <w:bottom w:val="none" w:sz="0" w:space="0" w:color="auto"/>
        <w:right w:val="none" w:sz="0" w:space="0" w:color="auto"/>
      </w:divBdr>
    </w:div>
    <w:div w:id="940838226">
      <w:bodyDiv w:val="1"/>
      <w:marLeft w:val="0"/>
      <w:marRight w:val="0"/>
      <w:marTop w:val="0"/>
      <w:marBottom w:val="0"/>
      <w:divBdr>
        <w:top w:val="none" w:sz="0" w:space="0" w:color="auto"/>
        <w:left w:val="none" w:sz="0" w:space="0" w:color="auto"/>
        <w:bottom w:val="none" w:sz="0" w:space="0" w:color="auto"/>
        <w:right w:val="none" w:sz="0" w:space="0" w:color="auto"/>
      </w:divBdr>
    </w:div>
    <w:div w:id="990406490">
      <w:bodyDiv w:val="1"/>
      <w:marLeft w:val="0"/>
      <w:marRight w:val="0"/>
      <w:marTop w:val="0"/>
      <w:marBottom w:val="0"/>
      <w:divBdr>
        <w:top w:val="none" w:sz="0" w:space="0" w:color="auto"/>
        <w:left w:val="none" w:sz="0" w:space="0" w:color="auto"/>
        <w:bottom w:val="none" w:sz="0" w:space="0" w:color="auto"/>
        <w:right w:val="none" w:sz="0" w:space="0" w:color="auto"/>
      </w:divBdr>
    </w:div>
    <w:div w:id="1368220942">
      <w:bodyDiv w:val="1"/>
      <w:marLeft w:val="0"/>
      <w:marRight w:val="0"/>
      <w:marTop w:val="0"/>
      <w:marBottom w:val="0"/>
      <w:divBdr>
        <w:top w:val="none" w:sz="0" w:space="0" w:color="auto"/>
        <w:left w:val="none" w:sz="0" w:space="0" w:color="auto"/>
        <w:bottom w:val="none" w:sz="0" w:space="0" w:color="auto"/>
        <w:right w:val="none" w:sz="0" w:space="0" w:color="auto"/>
      </w:divBdr>
    </w:div>
    <w:div w:id="1569608599">
      <w:bodyDiv w:val="1"/>
      <w:marLeft w:val="0"/>
      <w:marRight w:val="0"/>
      <w:marTop w:val="0"/>
      <w:marBottom w:val="0"/>
      <w:divBdr>
        <w:top w:val="none" w:sz="0" w:space="0" w:color="auto"/>
        <w:left w:val="none" w:sz="0" w:space="0" w:color="auto"/>
        <w:bottom w:val="none" w:sz="0" w:space="0" w:color="auto"/>
        <w:right w:val="none" w:sz="0" w:space="0" w:color="auto"/>
      </w:divBdr>
    </w:div>
    <w:div w:id="1791778863">
      <w:bodyDiv w:val="1"/>
      <w:marLeft w:val="0"/>
      <w:marRight w:val="0"/>
      <w:marTop w:val="0"/>
      <w:marBottom w:val="0"/>
      <w:divBdr>
        <w:top w:val="none" w:sz="0" w:space="0" w:color="auto"/>
        <w:left w:val="none" w:sz="0" w:space="0" w:color="auto"/>
        <w:bottom w:val="none" w:sz="0" w:space="0" w:color="auto"/>
        <w:right w:val="none" w:sz="0" w:space="0" w:color="auto"/>
      </w:divBdr>
    </w:div>
    <w:div w:id="1840659138">
      <w:bodyDiv w:val="1"/>
      <w:marLeft w:val="0"/>
      <w:marRight w:val="0"/>
      <w:marTop w:val="0"/>
      <w:marBottom w:val="0"/>
      <w:divBdr>
        <w:top w:val="none" w:sz="0" w:space="0" w:color="auto"/>
        <w:left w:val="none" w:sz="0" w:space="0" w:color="auto"/>
        <w:bottom w:val="none" w:sz="0" w:space="0" w:color="auto"/>
        <w:right w:val="none" w:sz="0" w:space="0" w:color="auto"/>
      </w:divBdr>
    </w:div>
    <w:div w:id="1992908483">
      <w:bodyDiv w:val="1"/>
      <w:marLeft w:val="0"/>
      <w:marRight w:val="0"/>
      <w:marTop w:val="0"/>
      <w:marBottom w:val="0"/>
      <w:divBdr>
        <w:top w:val="none" w:sz="0" w:space="0" w:color="auto"/>
        <w:left w:val="none" w:sz="0" w:space="0" w:color="auto"/>
        <w:bottom w:val="none" w:sz="0" w:space="0" w:color="auto"/>
        <w:right w:val="none" w:sz="0" w:space="0" w:color="auto"/>
      </w:divBdr>
    </w:div>
    <w:div w:id="20816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nkedin.com/company/athora-ita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hor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600</Words>
  <Characters>3421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Di Battista</dc:creator>
  <cp:keywords/>
  <dc:description/>
  <cp:lastModifiedBy>Chirico, Angela Francesca</cp:lastModifiedBy>
  <cp:revision>28</cp:revision>
  <dcterms:created xsi:type="dcterms:W3CDTF">2025-07-18T09:13:00Z</dcterms:created>
  <dcterms:modified xsi:type="dcterms:W3CDTF">2025-07-23T15:45:00Z</dcterms:modified>
</cp:coreProperties>
</file>