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22CA" w14:textId="6C604E15" w:rsidR="00B92B95" w:rsidRPr="00B92B95" w:rsidRDefault="00B92B95" w:rsidP="00B92B95">
      <w:pPr>
        <w:jc w:val="center"/>
        <w:rPr>
          <w:rFonts w:cs="Calibri"/>
          <w:bCs/>
          <w:color w:val="002060"/>
          <w:u w:val="single"/>
        </w:rPr>
      </w:pPr>
      <w:r w:rsidRPr="009A348B">
        <w:rPr>
          <w:rFonts w:cs="Calibri"/>
          <w:bCs/>
          <w:color w:val="002060"/>
          <w:u w:val="single"/>
        </w:rPr>
        <w:t>Comunicato stampa</w:t>
      </w:r>
    </w:p>
    <w:p w14:paraId="05EE5EE4" w14:textId="096C9EBB" w:rsidR="00B92B95" w:rsidRPr="00B92B95" w:rsidRDefault="00B92B95" w:rsidP="00B92B95">
      <w:pPr>
        <w:jc w:val="center"/>
        <w:rPr>
          <w:rFonts w:cs="Calibri"/>
          <w:bCs/>
          <w:color w:val="002060"/>
          <w:sz w:val="32"/>
          <w:szCs w:val="32"/>
        </w:rPr>
      </w:pPr>
      <w:r w:rsidRPr="00DF5B10">
        <w:rPr>
          <w:rFonts w:cs="Calibri"/>
          <w:bCs/>
          <w:color w:val="002060"/>
          <w:sz w:val="32"/>
          <w:szCs w:val="32"/>
        </w:rPr>
        <w:t xml:space="preserve">Osservatorio Look to the </w:t>
      </w:r>
      <w:r w:rsidR="00062C37">
        <w:rPr>
          <w:rFonts w:cs="Calibri"/>
          <w:bCs/>
          <w:color w:val="002060"/>
          <w:sz w:val="32"/>
          <w:szCs w:val="32"/>
        </w:rPr>
        <w:t>F</w:t>
      </w:r>
      <w:r w:rsidR="00062C37" w:rsidRPr="00DF5B10">
        <w:rPr>
          <w:rFonts w:cs="Calibri"/>
          <w:bCs/>
          <w:color w:val="002060"/>
          <w:sz w:val="32"/>
          <w:szCs w:val="32"/>
        </w:rPr>
        <w:t>uture</w:t>
      </w:r>
    </w:p>
    <w:p w14:paraId="07293F3D" w14:textId="577C925B" w:rsidR="00B92B95" w:rsidRDefault="00B92B95" w:rsidP="00B92B95">
      <w:pPr>
        <w:jc w:val="center"/>
        <w:rPr>
          <w:b/>
          <w:bCs/>
        </w:rPr>
      </w:pPr>
      <w:r w:rsidRPr="00541339">
        <w:rPr>
          <w:rFonts w:cs="Calibri"/>
          <w:bCs/>
          <w:i/>
          <w:iCs/>
          <w:color w:val="002060"/>
        </w:rPr>
        <w:t>Athora Italia presenta i risultati dell</w:t>
      </w:r>
      <w:r>
        <w:rPr>
          <w:rFonts w:cs="Calibri"/>
          <w:bCs/>
          <w:i/>
          <w:iCs/>
          <w:color w:val="002060"/>
        </w:rPr>
        <w:t>’</w:t>
      </w:r>
      <w:r w:rsidRPr="00541339">
        <w:rPr>
          <w:rFonts w:cs="Calibri"/>
          <w:bCs/>
          <w:i/>
          <w:iCs/>
          <w:color w:val="002060"/>
        </w:rPr>
        <w:t xml:space="preserve">indagine Nomisma nella provincia di </w:t>
      </w:r>
      <w:r w:rsidR="008017E3">
        <w:rPr>
          <w:rFonts w:cs="Calibri"/>
          <w:bCs/>
          <w:i/>
          <w:iCs/>
          <w:color w:val="002060"/>
        </w:rPr>
        <w:t>Milano</w:t>
      </w:r>
      <w:r w:rsidRPr="00541339">
        <w:rPr>
          <w:rFonts w:cs="Calibri"/>
          <w:bCs/>
          <w:i/>
          <w:iCs/>
          <w:color w:val="002060"/>
        </w:rPr>
        <w:t xml:space="preserve">. </w:t>
      </w:r>
      <w:r>
        <w:rPr>
          <w:rFonts w:cs="Calibri"/>
          <w:bCs/>
          <w:i/>
          <w:iCs/>
          <w:color w:val="002060"/>
        </w:rPr>
        <w:t xml:space="preserve">Le opinioni e le conoscenze dei </w:t>
      </w:r>
      <w:r w:rsidR="00767958">
        <w:rPr>
          <w:rFonts w:cs="Calibri"/>
          <w:bCs/>
          <w:i/>
          <w:iCs/>
          <w:color w:val="002060"/>
        </w:rPr>
        <w:t>cittadini</w:t>
      </w:r>
      <w:r>
        <w:rPr>
          <w:rFonts w:cs="Calibri"/>
          <w:bCs/>
          <w:i/>
          <w:iCs/>
          <w:color w:val="002060"/>
        </w:rPr>
        <w:t xml:space="preserve"> riguardo le assicurazioni.</w:t>
      </w:r>
    </w:p>
    <w:p w14:paraId="5F352E4A" w14:textId="7F61D677" w:rsidR="00B92B95" w:rsidRDefault="00B92B95" w:rsidP="00B92B95">
      <w:pPr>
        <w:jc w:val="center"/>
        <w:rPr>
          <w:rFonts w:cs="Calibri"/>
          <w:b/>
          <w:color w:val="002060"/>
          <w:sz w:val="24"/>
          <w:szCs w:val="24"/>
        </w:rPr>
      </w:pPr>
      <w:r w:rsidRPr="00B92B95">
        <w:rPr>
          <w:rFonts w:cs="Calibri"/>
          <w:b/>
          <w:color w:val="002060"/>
          <w:sz w:val="24"/>
          <w:szCs w:val="24"/>
        </w:rPr>
        <w:t>Assicurazioni:</w:t>
      </w:r>
      <w:r w:rsidR="008017E3" w:rsidRPr="008017E3">
        <w:rPr>
          <w:rFonts w:cs="Calibri"/>
          <w:b/>
          <w:color w:val="002060"/>
          <w:sz w:val="24"/>
          <w:szCs w:val="24"/>
        </w:rPr>
        <w:t xml:space="preserve"> </w:t>
      </w:r>
      <w:r w:rsidR="00986E56" w:rsidRPr="00986E56">
        <w:rPr>
          <w:rFonts w:cs="Calibri"/>
          <w:b/>
          <w:color w:val="002060"/>
          <w:sz w:val="24"/>
          <w:szCs w:val="24"/>
        </w:rPr>
        <w:t>il 63% dei milanesi guarda alle polizze vita per integrare la pensione pubblica</w:t>
      </w:r>
    </w:p>
    <w:p w14:paraId="12762AEF" w14:textId="7C21F55A" w:rsidR="00617688" w:rsidRPr="0079618E" w:rsidRDefault="008017E3" w:rsidP="00B92B95">
      <w:pPr>
        <w:jc w:val="center"/>
        <w:rPr>
          <w:rFonts w:cs="Calibri"/>
          <w:bCs/>
          <w:i/>
          <w:iCs/>
          <w:color w:val="002060"/>
        </w:rPr>
      </w:pPr>
      <w:r w:rsidRPr="008017E3">
        <w:rPr>
          <w:rFonts w:cs="Calibri"/>
          <w:bCs/>
          <w:i/>
          <w:iCs/>
          <w:color w:val="002060"/>
        </w:rPr>
        <w:t xml:space="preserve">Integrazione pensionistica e </w:t>
      </w:r>
      <w:r w:rsidR="00904DF8">
        <w:rPr>
          <w:rFonts w:cs="Calibri"/>
          <w:bCs/>
          <w:i/>
          <w:iCs/>
          <w:color w:val="002060"/>
        </w:rPr>
        <w:t xml:space="preserve">opportunità di investimento del capitale le principali motivazioni della scelta delle polizze </w:t>
      </w:r>
      <w:r w:rsidR="00CB5B1B">
        <w:rPr>
          <w:rFonts w:cs="Calibri"/>
          <w:bCs/>
          <w:i/>
          <w:iCs/>
          <w:color w:val="002060"/>
        </w:rPr>
        <w:t>vita. Ma</w:t>
      </w:r>
      <w:r w:rsidRPr="008017E3">
        <w:rPr>
          <w:rFonts w:cs="Calibri"/>
          <w:bCs/>
          <w:i/>
          <w:iCs/>
          <w:color w:val="002060"/>
        </w:rPr>
        <w:t xml:space="preserve"> </w:t>
      </w:r>
      <w:r w:rsidR="00CB5B1B" w:rsidRPr="008017E3">
        <w:rPr>
          <w:rFonts w:cs="Calibri"/>
          <w:bCs/>
          <w:i/>
          <w:iCs/>
          <w:color w:val="002060"/>
        </w:rPr>
        <w:t xml:space="preserve">1 milanese su 2 </w:t>
      </w:r>
      <w:r w:rsidR="00CB5B1B">
        <w:rPr>
          <w:rFonts w:cs="Calibri"/>
          <w:bCs/>
          <w:i/>
          <w:iCs/>
          <w:color w:val="002060"/>
        </w:rPr>
        <w:t>non conosce le soluzioni vita con Gestione Separata</w:t>
      </w:r>
    </w:p>
    <w:p w14:paraId="3F6C8CBF" w14:textId="73BFA4AB" w:rsidR="009459E8" w:rsidRPr="009459E8" w:rsidRDefault="00B92B95" w:rsidP="009459E8">
      <w:pPr>
        <w:spacing w:before="240"/>
        <w:jc w:val="both"/>
        <w:rPr>
          <w:rFonts w:cstheme="minorHAnsi"/>
        </w:rPr>
      </w:pPr>
      <w:r w:rsidRPr="00B92B95">
        <w:rPr>
          <w:rFonts w:cstheme="minorHAnsi"/>
          <w:i/>
          <w:iCs/>
        </w:rPr>
        <w:t>Milano, 2</w:t>
      </w:r>
      <w:r w:rsidR="008017E3">
        <w:rPr>
          <w:rFonts w:cstheme="minorHAnsi"/>
          <w:i/>
          <w:iCs/>
        </w:rPr>
        <w:t>8</w:t>
      </w:r>
      <w:r w:rsidRPr="00B92B95">
        <w:rPr>
          <w:rFonts w:cstheme="minorHAnsi"/>
          <w:i/>
          <w:iCs/>
        </w:rPr>
        <w:t xml:space="preserve"> luglio 2025</w:t>
      </w:r>
      <w:r w:rsidRPr="00B92B95">
        <w:rPr>
          <w:rFonts w:cstheme="minorHAnsi"/>
        </w:rPr>
        <w:t xml:space="preserve"> – </w:t>
      </w:r>
      <w:r w:rsidR="009459E8" w:rsidRPr="009459E8">
        <w:rPr>
          <w:rFonts w:cstheme="minorHAnsi"/>
        </w:rPr>
        <w:t xml:space="preserve">Il </w:t>
      </w:r>
      <w:r w:rsidR="009459E8" w:rsidRPr="009459E8">
        <w:rPr>
          <w:rFonts w:cstheme="minorHAnsi"/>
          <w:b/>
          <w:bCs/>
        </w:rPr>
        <w:t>36% dei cittadini della provincia di Milano</w:t>
      </w:r>
      <w:r w:rsidR="00FF6288">
        <w:rPr>
          <w:rFonts w:ascii="Calibri" w:hAnsi="Calibri" w:cs="Calibri"/>
          <w:vertAlign w:val="superscript"/>
        </w:rPr>
        <w:t xml:space="preserve"> </w:t>
      </w:r>
      <w:r w:rsidR="009459E8" w:rsidRPr="009459E8">
        <w:rPr>
          <w:rFonts w:cstheme="minorHAnsi"/>
        </w:rPr>
        <w:t xml:space="preserve">afferma di conoscere molto bene il mondo delle assicurazioni e delle polizze, mentre il </w:t>
      </w:r>
      <w:r w:rsidR="009459E8" w:rsidRPr="009459E8">
        <w:rPr>
          <w:rFonts w:cstheme="minorHAnsi"/>
          <w:b/>
          <w:bCs/>
        </w:rPr>
        <w:t>62%</w:t>
      </w:r>
      <w:r w:rsidR="009459E8" w:rsidRPr="009459E8">
        <w:rPr>
          <w:rFonts w:cstheme="minorHAnsi"/>
        </w:rPr>
        <w:t xml:space="preserve"> dichiara di avere una conoscenza solo parziale. Appena il </w:t>
      </w:r>
      <w:r w:rsidR="009459E8" w:rsidRPr="009459E8">
        <w:rPr>
          <w:rFonts w:cstheme="minorHAnsi"/>
          <w:b/>
          <w:bCs/>
        </w:rPr>
        <w:t>2%</w:t>
      </w:r>
      <w:r w:rsidR="009459E8" w:rsidRPr="009459E8">
        <w:rPr>
          <w:rFonts w:cstheme="minorHAnsi"/>
        </w:rPr>
        <w:t xml:space="preserve"> ammette di non avere familiarità con il settore. Sono alcuni dei dati emersi dall’indagine </w:t>
      </w:r>
      <w:r w:rsidR="009459E8" w:rsidRPr="00127F30">
        <w:rPr>
          <w:rFonts w:cstheme="minorHAnsi"/>
        </w:rPr>
        <w:t>dell’</w:t>
      </w:r>
      <w:r w:rsidR="009459E8" w:rsidRPr="00FF6288">
        <w:rPr>
          <w:rFonts w:cstheme="minorHAnsi"/>
          <w:i/>
          <w:iCs/>
        </w:rPr>
        <w:t>Osservatorio Look to the Future</w:t>
      </w:r>
      <w:r w:rsidR="009459E8" w:rsidRPr="009459E8">
        <w:rPr>
          <w:rFonts w:cstheme="minorHAnsi"/>
        </w:rPr>
        <w:t xml:space="preserve">, realizzata da Nomisma per </w:t>
      </w:r>
      <w:r w:rsidR="009459E8" w:rsidRPr="00127F30">
        <w:rPr>
          <w:rFonts w:cstheme="minorHAnsi"/>
          <w:b/>
          <w:bCs/>
        </w:rPr>
        <w:t>Athora Italia</w:t>
      </w:r>
      <w:r w:rsidR="009459E8" w:rsidRPr="009459E8">
        <w:rPr>
          <w:rFonts w:cstheme="minorHAnsi"/>
        </w:rPr>
        <w:t xml:space="preserve">, compagnia assicurativa vita del Gruppo Athora, </w:t>
      </w:r>
      <w:r w:rsidR="00367302" w:rsidRPr="00B92B95">
        <w:rPr>
          <w:rFonts w:cstheme="minorHAnsi"/>
        </w:rPr>
        <w:t xml:space="preserve">tra i leader europei nel risparmio assicurativo e nella previdenza, condotta </w:t>
      </w:r>
      <w:r w:rsidR="00367302">
        <w:rPr>
          <w:rFonts w:cstheme="minorHAnsi"/>
        </w:rPr>
        <w:t>da</w:t>
      </w:r>
      <w:r w:rsidR="00367302" w:rsidRPr="00B92B95">
        <w:rPr>
          <w:rFonts w:cstheme="minorHAnsi"/>
        </w:rPr>
        <w:t xml:space="preserve"> </w:t>
      </w:r>
      <w:r w:rsidR="00367302" w:rsidRPr="00B92B95">
        <w:rPr>
          <w:rFonts w:cstheme="minorHAnsi"/>
          <w:b/>
          <w:bCs/>
        </w:rPr>
        <w:t>Nomisma</w:t>
      </w:r>
      <w:r w:rsidR="00367302" w:rsidRPr="00B92B95">
        <w:rPr>
          <w:rFonts w:cstheme="minorHAnsi"/>
        </w:rPr>
        <w:t xml:space="preserve"> </w:t>
      </w:r>
      <w:r w:rsidR="00367302">
        <w:rPr>
          <w:rFonts w:cstheme="minorHAnsi"/>
        </w:rPr>
        <w:t xml:space="preserve">a livello nazionale </w:t>
      </w:r>
      <w:r w:rsidR="00367302" w:rsidRPr="00B92B95">
        <w:rPr>
          <w:rFonts w:cstheme="minorHAnsi"/>
        </w:rPr>
        <w:t xml:space="preserve">e focalizzata </w:t>
      </w:r>
      <w:r w:rsidR="00367302">
        <w:rPr>
          <w:rFonts w:cstheme="minorHAnsi"/>
        </w:rPr>
        <w:t xml:space="preserve">anche </w:t>
      </w:r>
      <w:r w:rsidR="00367302" w:rsidRPr="00B92B95">
        <w:rPr>
          <w:rFonts w:cstheme="minorHAnsi"/>
        </w:rPr>
        <w:t xml:space="preserve">su cinque grandi province italiane, tra cui </w:t>
      </w:r>
      <w:proofErr w:type="gramStart"/>
      <w:r w:rsidR="006116F3">
        <w:rPr>
          <w:rFonts w:cstheme="minorHAnsi"/>
        </w:rPr>
        <w:t>Milano.</w:t>
      </w:r>
      <w:r w:rsidR="00367302">
        <w:rPr>
          <w:rFonts w:cstheme="minorHAnsi"/>
          <w:vertAlign w:val="superscript"/>
        </w:rPr>
        <w:t>(</w:t>
      </w:r>
      <w:proofErr w:type="gramEnd"/>
      <w:r w:rsidR="00367302">
        <w:rPr>
          <w:rStyle w:val="Rimandonotaapidipagina"/>
          <w:rFonts w:ascii="Calibri" w:hAnsi="Calibri" w:cs="Calibri"/>
        </w:rPr>
        <w:footnoteReference w:id="1"/>
      </w:r>
      <w:r w:rsidR="00367302">
        <w:rPr>
          <w:rFonts w:ascii="Calibri" w:hAnsi="Calibri" w:cs="Calibri"/>
          <w:vertAlign w:val="superscript"/>
        </w:rPr>
        <w:t>)</w:t>
      </w:r>
    </w:p>
    <w:p w14:paraId="06D1AB4E" w14:textId="1A791994" w:rsidR="009459E8" w:rsidRPr="009459E8" w:rsidRDefault="009459E8" w:rsidP="009459E8">
      <w:pPr>
        <w:spacing w:before="240"/>
        <w:jc w:val="both"/>
        <w:rPr>
          <w:rFonts w:cstheme="minorHAnsi"/>
        </w:rPr>
      </w:pPr>
      <w:r w:rsidRPr="009459E8">
        <w:rPr>
          <w:rFonts w:cstheme="minorHAnsi"/>
        </w:rPr>
        <w:t xml:space="preserve">A Milano, le </w:t>
      </w:r>
      <w:r w:rsidRPr="009459E8">
        <w:rPr>
          <w:rFonts w:cstheme="minorHAnsi"/>
          <w:b/>
          <w:bCs/>
        </w:rPr>
        <w:t>polizze vita</w:t>
      </w:r>
      <w:r w:rsidRPr="009459E8">
        <w:rPr>
          <w:rFonts w:cstheme="minorHAnsi"/>
        </w:rPr>
        <w:t xml:space="preserve"> </w:t>
      </w:r>
      <w:r w:rsidR="00EC3737">
        <w:rPr>
          <w:rFonts w:cstheme="minorHAnsi"/>
        </w:rPr>
        <w:t xml:space="preserve">a contenuto finanziario </w:t>
      </w:r>
      <w:r w:rsidRPr="009459E8">
        <w:rPr>
          <w:rFonts w:cstheme="minorHAnsi"/>
        </w:rPr>
        <w:t xml:space="preserve">rappresentano una delle soluzioni più ricercate per affrontare l’incertezza futura: il </w:t>
      </w:r>
      <w:r w:rsidRPr="009459E8">
        <w:rPr>
          <w:rFonts w:cstheme="minorHAnsi"/>
          <w:b/>
          <w:bCs/>
        </w:rPr>
        <w:t>63% dei cittadini le considera uno strumento utile per integrare la pensione pubblica</w:t>
      </w:r>
      <w:r w:rsidRPr="009459E8">
        <w:rPr>
          <w:rFonts w:cstheme="minorHAnsi"/>
        </w:rPr>
        <w:t>, sempre più percepita come insufficiente. Ma non solo: le polizze vita sono scelte anche per investire il capitale, proteggere la famiglia in caso di eventi imprevisti, e pianificare il passaggio generazionale.</w:t>
      </w:r>
    </w:p>
    <w:p w14:paraId="34A576C0" w14:textId="46585BDD" w:rsidR="009459E8" w:rsidRPr="009459E8" w:rsidRDefault="009459E8" w:rsidP="009459E8">
      <w:pPr>
        <w:spacing w:before="240"/>
        <w:jc w:val="both"/>
        <w:rPr>
          <w:rFonts w:cstheme="minorHAnsi"/>
        </w:rPr>
      </w:pPr>
      <w:r w:rsidRPr="009459E8">
        <w:rPr>
          <w:rFonts w:cstheme="minorHAnsi"/>
        </w:rPr>
        <w:t xml:space="preserve">Nonostante questa attenzione, </w:t>
      </w:r>
      <w:r w:rsidRPr="009459E8">
        <w:rPr>
          <w:rFonts w:cstheme="minorHAnsi"/>
          <w:b/>
          <w:bCs/>
        </w:rPr>
        <w:t xml:space="preserve">la conoscenza </w:t>
      </w:r>
      <w:r w:rsidR="00AF266C">
        <w:rPr>
          <w:rFonts w:cstheme="minorHAnsi"/>
          <w:b/>
          <w:bCs/>
        </w:rPr>
        <w:t>delle</w:t>
      </w:r>
      <w:r w:rsidRPr="009459E8">
        <w:rPr>
          <w:rFonts w:cstheme="minorHAnsi"/>
          <w:b/>
          <w:bCs/>
        </w:rPr>
        <w:t xml:space="preserve"> polizze vita con Gestione Separata</w:t>
      </w:r>
      <w:r w:rsidRPr="009459E8">
        <w:rPr>
          <w:rFonts w:cstheme="minorHAnsi"/>
        </w:rPr>
        <w:t xml:space="preserve"> resta limitata: </w:t>
      </w:r>
      <w:r w:rsidRPr="009459E8">
        <w:rPr>
          <w:rFonts w:cstheme="minorHAnsi"/>
          <w:b/>
          <w:bCs/>
        </w:rPr>
        <w:t>solo il 10% dei milanesi afferma di conoscerle molto bene e di possederle attualmente in famiglia</w:t>
      </w:r>
      <w:r w:rsidRPr="009459E8">
        <w:rPr>
          <w:rFonts w:cstheme="minorHAnsi"/>
        </w:rPr>
        <w:t xml:space="preserve">, mentre il 7% le ha conosciute e possedute in passato. Il 19% ha una conoscenza parziale pur non avendole mai sottoscritte, mentre </w:t>
      </w:r>
      <w:r w:rsidRPr="009459E8">
        <w:rPr>
          <w:rFonts w:cstheme="minorHAnsi"/>
          <w:b/>
          <w:bCs/>
        </w:rPr>
        <w:t>1 milanese su 2 non ne ha mai sentito parlare</w:t>
      </w:r>
      <w:r w:rsidRPr="009459E8">
        <w:rPr>
          <w:rFonts w:cstheme="minorHAnsi"/>
        </w:rPr>
        <w:t xml:space="preserve">. Un dato che segnala </w:t>
      </w:r>
      <w:r w:rsidRPr="002F3184">
        <w:rPr>
          <w:rFonts w:cstheme="minorHAnsi"/>
          <w:b/>
          <w:bCs/>
        </w:rPr>
        <w:t>un</w:t>
      </w:r>
      <w:r w:rsidR="004633E1">
        <w:rPr>
          <w:rFonts w:cstheme="minorHAnsi"/>
          <w:b/>
          <w:bCs/>
        </w:rPr>
        <w:t xml:space="preserve"> importante</w:t>
      </w:r>
      <w:r w:rsidRPr="009459E8">
        <w:rPr>
          <w:rFonts w:cstheme="minorHAnsi"/>
        </w:rPr>
        <w:t xml:space="preserve"> </w:t>
      </w:r>
      <w:proofErr w:type="gramStart"/>
      <w:r w:rsidRPr="002F3184">
        <w:rPr>
          <w:rFonts w:cstheme="minorHAnsi"/>
          <w:b/>
          <w:bCs/>
        </w:rPr>
        <w:t>gap</w:t>
      </w:r>
      <w:proofErr w:type="gramEnd"/>
      <w:r w:rsidRPr="002F3184">
        <w:rPr>
          <w:rFonts w:cstheme="minorHAnsi"/>
          <w:b/>
          <w:bCs/>
        </w:rPr>
        <w:t xml:space="preserve"> informativo</w:t>
      </w:r>
      <w:r w:rsidR="004633E1">
        <w:rPr>
          <w:rFonts w:cstheme="minorHAnsi"/>
          <w:b/>
          <w:bCs/>
        </w:rPr>
        <w:t xml:space="preserve"> nel territorio.</w:t>
      </w:r>
    </w:p>
    <w:p w14:paraId="57B6BBA1" w14:textId="77777777" w:rsidR="009459E8" w:rsidRPr="009459E8" w:rsidRDefault="009459E8" w:rsidP="009459E8">
      <w:pPr>
        <w:spacing w:before="240"/>
        <w:jc w:val="both"/>
        <w:rPr>
          <w:rFonts w:cstheme="minorHAnsi"/>
        </w:rPr>
      </w:pPr>
      <w:r w:rsidRPr="009459E8">
        <w:rPr>
          <w:rFonts w:cstheme="minorHAnsi"/>
        </w:rPr>
        <w:t xml:space="preserve">A Milano, le scelte assicurative sono </w:t>
      </w:r>
      <w:r w:rsidRPr="009459E8">
        <w:rPr>
          <w:rFonts w:cstheme="minorHAnsi"/>
          <w:b/>
          <w:bCs/>
        </w:rPr>
        <w:t>equamente divise tra decisione individuale (46%) e condivisa (48%), ma in 9 casi su 10 il partner è comunque coinvolto</w:t>
      </w:r>
      <w:r w:rsidRPr="009459E8">
        <w:rPr>
          <w:rFonts w:cstheme="minorHAnsi"/>
        </w:rPr>
        <w:t>: una conferma del forte ruolo familiare nella pianificazione economica.</w:t>
      </w:r>
    </w:p>
    <w:p w14:paraId="1848F5B1" w14:textId="6281B6A7" w:rsidR="009459E8" w:rsidRPr="009459E8" w:rsidRDefault="009459E8" w:rsidP="009459E8">
      <w:pPr>
        <w:spacing w:before="240"/>
        <w:jc w:val="both"/>
        <w:rPr>
          <w:rFonts w:cstheme="minorHAnsi"/>
        </w:rPr>
      </w:pPr>
      <w:r w:rsidRPr="009459E8">
        <w:rPr>
          <w:rFonts w:cstheme="minorHAnsi"/>
        </w:rPr>
        <w:t xml:space="preserve">L’indagine evidenzia come, nonostante un buon livello di consapevolezza assicurativa, permangano </w:t>
      </w:r>
      <w:r w:rsidRPr="00127F30">
        <w:rPr>
          <w:rFonts w:cstheme="minorHAnsi"/>
        </w:rPr>
        <w:t xml:space="preserve">zone d’ombra su prodotti specifici, in particolare nel comparto vita. È qui che si rende necessario un ulteriore sforzo </w:t>
      </w:r>
      <w:r w:rsidRPr="00E24829">
        <w:rPr>
          <w:rFonts w:cstheme="minorHAnsi"/>
          <w:b/>
          <w:bCs/>
        </w:rPr>
        <w:t>sul fronte</w:t>
      </w:r>
      <w:r w:rsidRPr="00127F30">
        <w:rPr>
          <w:rFonts w:cstheme="minorHAnsi"/>
        </w:rPr>
        <w:t xml:space="preserve"> </w:t>
      </w:r>
      <w:r w:rsidRPr="00E24829">
        <w:rPr>
          <w:rFonts w:cstheme="minorHAnsi"/>
          <w:b/>
          <w:bCs/>
        </w:rPr>
        <w:t>dell’educazione finanziaria</w:t>
      </w:r>
      <w:r w:rsidRPr="00127F30">
        <w:rPr>
          <w:rFonts w:cstheme="minorHAnsi"/>
        </w:rPr>
        <w:t>, per aiutare le persone a orientarsi</w:t>
      </w:r>
      <w:r w:rsidRPr="009459E8">
        <w:rPr>
          <w:rFonts w:cstheme="minorHAnsi"/>
        </w:rPr>
        <w:t xml:space="preserve"> tra strumenti diversi, comprenderne le caratteristiche e fare scelte coerenti con i propri bisogni futuri.</w:t>
      </w:r>
    </w:p>
    <w:p w14:paraId="0D57143C" w14:textId="77777777" w:rsidR="00262E6F" w:rsidRPr="00B92B95" w:rsidRDefault="00262E6F" w:rsidP="008017E3">
      <w:pPr>
        <w:spacing w:before="240"/>
        <w:jc w:val="both"/>
        <w:rPr>
          <w:rFonts w:cstheme="minorHAnsi"/>
        </w:rPr>
      </w:pPr>
    </w:p>
    <w:p w14:paraId="56366713" w14:textId="60AFFCEA" w:rsidR="00FC07C1" w:rsidRDefault="00FC07C1" w:rsidP="00262E6F">
      <w:pPr>
        <w:spacing w:after="0" w:line="240" w:lineRule="auto"/>
        <w:jc w:val="center"/>
        <w:rPr>
          <w:rFonts w:ascii="Calibri" w:eastAsia="Times New Roman" w:hAnsi="Calibri" w:cs="Calibri"/>
          <w:kern w:val="0"/>
          <w:sz w:val="24"/>
          <w:szCs w:val="24"/>
          <w:lang w:eastAsia="it-IT"/>
          <w14:ligatures w14:val="none"/>
        </w:rPr>
      </w:pPr>
      <w:r w:rsidRPr="00FC07C1">
        <w:rPr>
          <w:rFonts w:ascii="Calibri" w:eastAsia="Times New Roman" w:hAnsi="Calibri" w:cs="Calibri"/>
          <w:kern w:val="0"/>
          <w:sz w:val="24"/>
          <w:szCs w:val="24"/>
          <w:lang w:eastAsia="it-IT"/>
          <w14:ligatures w14:val="none"/>
        </w:rPr>
        <w:t>***</w:t>
      </w:r>
    </w:p>
    <w:p w14:paraId="7558FFAE" w14:textId="77777777" w:rsidR="00262E6F" w:rsidRPr="00262E6F" w:rsidRDefault="00262E6F" w:rsidP="00262E6F">
      <w:pPr>
        <w:spacing w:after="0" w:line="240" w:lineRule="auto"/>
        <w:jc w:val="center"/>
        <w:rPr>
          <w:rFonts w:ascii="Calibri" w:eastAsia="Times New Roman" w:hAnsi="Calibri" w:cs="Calibri"/>
          <w:kern w:val="0"/>
          <w:sz w:val="24"/>
          <w:szCs w:val="24"/>
          <w:lang w:eastAsia="it-IT"/>
          <w14:ligatures w14:val="none"/>
        </w:rPr>
      </w:pPr>
    </w:p>
    <w:p w14:paraId="001D2E3B" w14:textId="77777777" w:rsidR="00FC07C1" w:rsidRDefault="00FC07C1" w:rsidP="00FC07C1">
      <w:pPr>
        <w:spacing w:after="0" w:line="240" w:lineRule="auto"/>
        <w:jc w:val="both"/>
        <w:rPr>
          <w:rFonts w:ascii="Calibri" w:eastAsia="Times New Roman" w:hAnsi="Calibri" w:cs="Calibri"/>
          <w:kern w:val="0"/>
          <w:sz w:val="24"/>
          <w:szCs w:val="24"/>
          <w:highlight w:val="yellow"/>
          <w:lang w:eastAsia="it-IT"/>
          <w14:ligatures w14:val="none"/>
        </w:rPr>
      </w:pPr>
    </w:p>
    <w:p w14:paraId="75AFD986" w14:textId="77777777" w:rsidR="00E24829" w:rsidRDefault="00E24829" w:rsidP="00FC07C1">
      <w:pPr>
        <w:spacing w:after="0" w:line="240" w:lineRule="auto"/>
        <w:jc w:val="both"/>
        <w:rPr>
          <w:rFonts w:ascii="Calibri" w:eastAsia="Times New Roman" w:hAnsi="Calibri" w:cs="Calibri"/>
          <w:kern w:val="0"/>
          <w:sz w:val="24"/>
          <w:szCs w:val="24"/>
          <w:highlight w:val="yellow"/>
          <w:lang w:eastAsia="it-IT"/>
          <w14:ligatures w14:val="none"/>
        </w:rPr>
      </w:pPr>
    </w:p>
    <w:p w14:paraId="003AB73C" w14:textId="77777777" w:rsidR="00E24829" w:rsidRDefault="00E24829" w:rsidP="00FC07C1">
      <w:pPr>
        <w:spacing w:after="0" w:line="240" w:lineRule="auto"/>
        <w:jc w:val="both"/>
        <w:rPr>
          <w:rFonts w:ascii="Calibri" w:eastAsia="Times New Roman" w:hAnsi="Calibri" w:cs="Calibri"/>
          <w:kern w:val="0"/>
          <w:sz w:val="24"/>
          <w:szCs w:val="24"/>
          <w:highlight w:val="yellow"/>
          <w:lang w:eastAsia="it-IT"/>
          <w14:ligatures w14:val="none"/>
        </w:rPr>
      </w:pPr>
    </w:p>
    <w:p w14:paraId="3AA14909" w14:textId="77777777" w:rsidR="00E24829" w:rsidRDefault="00E24829" w:rsidP="00FC07C1">
      <w:pPr>
        <w:spacing w:after="0" w:line="240" w:lineRule="auto"/>
        <w:jc w:val="both"/>
        <w:rPr>
          <w:rFonts w:ascii="Calibri" w:eastAsia="Times New Roman" w:hAnsi="Calibri" w:cs="Calibri"/>
          <w:kern w:val="0"/>
          <w:sz w:val="24"/>
          <w:szCs w:val="24"/>
          <w:highlight w:val="yellow"/>
          <w:lang w:eastAsia="it-IT"/>
          <w14:ligatures w14:val="none"/>
        </w:rPr>
      </w:pPr>
    </w:p>
    <w:p w14:paraId="1B47B362" w14:textId="77777777" w:rsidR="00E24829" w:rsidRDefault="00E24829" w:rsidP="00FC07C1">
      <w:pPr>
        <w:spacing w:after="0" w:line="240" w:lineRule="auto"/>
        <w:jc w:val="both"/>
        <w:rPr>
          <w:rFonts w:ascii="Calibri" w:eastAsia="Times New Roman" w:hAnsi="Calibri" w:cs="Calibri"/>
          <w:kern w:val="0"/>
          <w:sz w:val="24"/>
          <w:szCs w:val="24"/>
          <w:highlight w:val="yellow"/>
          <w:lang w:eastAsia="it-IT"/>
          <w14:ligatures w14:val="none"/>
        </w:rPr>
      </w:pPr>
    </w:p>
    <w:p w14:paraId="6F40AF3E" w14:textId="77777777" w:rsidR="00E24829" w:rsidRDefault="00E24829" w:rsidP="00FC07C1">
      <w:pPr>
        <w:spacing w:after="0" w:line="240" w:lineRule="auto"/>
        <w:jc w:val="both"/>
        <w:rPr>
          <w:rFonts w:ascii="Calibri" w:eastAsia="Times New Roman" w:hAnsi="Calibri" w:cs="Calibri"/>
          <w:kern w:val="0"/>
          <w:sz w:val="24"/>
          <w:szCs w:val="24"/>
          <w:highlight w:val="yellow"/>
          <w:lang w:eastAsia="it-IT"/>
          <w14:ligatures w14:val="none"/>
        </w:rPr>
      </w:pPr>
    </w:p>
    <w:p w14:paraId="696E6607" w14:textId="77777777" w:rsidR="00E24829" w:rsidRPr="00FC07C1" w:rsidRDefault="00E24829" w:rsidP="00FC07C1">
      <w:pPr>
        <w:spacing w:after="0" w:line="240" w:lineRule="auto"/>
        <w:jc w:val="both"/>
        <w:rPr>
          <w:rFonts w:ascii="Calibri" w:eastAsia="Times New Roman" w:hAnsi="Calibri" w:cs="Calibri"/>
          <w:kern w:val="0"/>
          <w:sz w:val="24"/>
          <w:szCs w:val="24"/>
          <w:highlight w:val="yellow"/>
          <w:lang w:eastAsia="it-IT"/>
          <w14:ligatures w14:val="none"/>
        </w:rPr>
      </w:pPr>
    </w:p>
    <w:p w14:paraId="7A83373E" w14:textId="77777777" w:rsidR="00FC07C1" w:rsidRPr="00FC07C1" w:rsidRDefault="00FC07C1" w:rsidP="00FC07C1">
      <w:pPr>
        <w:spacing w:after="0" w:line="240" w:lineRule="auto"/>
        <w:jc w:val="both"/>
        <w:rPr>
          <w:rFonts w:ascii="Calibri" w:eastAsia="Times New Roman" w:hAnsi="Calibri" w:cs="Calibri"/>
          <w:b/>
          <w:color w:val="17365D"/>
          <w:kern w:val="0"/>
          <w:u w:color="00B0F0"/>
          <w14:ligatures w14:val="none"/>
        </w:rPr>
      </w:pPr>
      <w:r w:rsidRPr="00FC07C1">
        <w:rPr>
          <w:rFonts w:ascii="Calibri" w:eastAsia="Times New Roman" w:hAnsi="Calibri" w:cs="Calibri"/>
          <w:b/>
          <w:color w:val="17365D"/>
          <w:kern w:val="0"/>
          <w:u w:color="00B0F0"/>
          <w14:ligatures w14:val="none"/>
        </w:rPr>
        <w:lastRenderedPageBreak/>
        <w:t>Informazioni su Athora Italia</w:t>
      </w:r>
    </w:p>
    <w:p w14:paraId="16EB2D01" w14:textId="77777777" w:rsidR="00FC07C1" w:rsidRPr="00FC07C1" w:rsidRDefault="00FC07C1" w:rsidP="00FC07C1">
      <w:pPr>
        <w:spacing w:after="0" w:line="240" w:lineRule="auto"/>
        <w:jc w:val="both"/>
        <w:rPr>
          <w:rFonts w:ascii="Calibri" w:eastAsia="Times New Roman" w:hAnsi="Calibri" w:cs="Calibri"/>
          <w:b/>
          <w:color w:val="17365D"/>
          <w:kern w:val="0"/>
          <w:u w:color="00B0F0"/>
          <w14:ligatures w14:val="none"/>
        </w:rPr>
      </w:pPr>
    </w:p>
    <w:p w14:paraId="572A3B61" w14:textId="77777777" w:rsidR="00FC07C1" w:rsidRPr="00FC07C1" w:rsidRDefault="00FC07C1" w:rsidP="00FC07C1">
      <w:pPr>
        <w:spacing w:after="0" w:line="240" w:lineRule="auto"/>
        <w:jc w:val="both"/>
        <w:rPr>
          <w:rFonts w:ascii="Calibri" w:eastAsia="Times New Roman" w:hAnsi="Calibri" w:cs="Times New Roman"/>
          <w:kern w:val="0"/>
          <w14:ligatures w14:val="none"/>
        </w:rPr>
      </w:pPr>
      <w:r w:rsidRPr="00FC07C1">
        <w:rPr>
          <w:rFonts w:ascii="Calibri" w:eastAsia="Times New Roman" w:hAnsi="Calibri" w:cs="Times New Roman"/>
          <w:color w:val="000000"/>
          <w:kern w:val="0"/>
          <w14:ligatures w14:val="none"/>
        </w:rPr>
        <w:t>Athora Italia,</w:t>
      </w:r>
      <w:r w:rsidRPr="00FC07C1">
        <w:rPr>
          <w:rFonts w:ascii="Calibri" w:eastAsia="Times New Roman" w:hAnsi="Calibri" w:cs="Calibri"/>
          <w:kern w:val="0"/>
          <w:lang w:eastAsia="it-IT"/>
          <w14:ligatures w14:val="none"/>
        </w:rPr>
        <w:t xml:space="preserve"> Compagnia assicurativa vita del Gruppo Athora,</w:t>
      </w:r>
      <w:r w:rsidRPr="00FC07C1">
        <w:rPr>
          <w:rFonts w:ascii="Calibri" w:eastAsia="Times New Roman" w:hAnsi="Calibri" w:cs="Times New Roman"/>
          <w:color w:val="000000"/>
          <w:kern w:val="0"/>
          <w14:ligatures w14:val="none"/>
        </w:rPr>
        <w:t xml:space="preserve"> è specializzata nell’offerta di prodotti assicurativi vita, con forti ambizioni di crescita nel mercato assicurativo italiano, con solide radici ed una consolidata esperienza nella bancassicurazione grazie ad una storia iniziata oltre 50 anni fa. Offriamo </w:t>
      </w:r>
      <w:r w:rsidRPr="00FC07C1">
        <w:rPr>
          <w:rFonts w:ascii="Calibri" w:eastAsia="Times New Roman" w:hAnsi="Calibri" w:cs="Times New Roman"/>
          <w:kern w:val="0"/>
          <w14:ligatures w14:val="none"/>
        </w:rPr>
        <w:t>un’ampia gamma di soluzioni assicurative per soddisfare, in modo completo e innovativo, i bisogni di risparmio assicurativo, previdenza e protezione dei nostri clienti che serviamo attraverso un’ampia rete di partner distributivi composta da sportelli bancari, consulenti finanziari, private banker, agenzie e broker.</w:t>
      </w:r>
    </w:p>
    <w:p w14:paraId="0A34E50A" w14:textId="77777777" w:rsidR="00FC07C1" w:rsidRPr="00FC07C1" w:rsidRDefault="00FC07C1" w:rsidP="00FC07C1">
      <w:pPr>
        <w:spacing w:after="0" w:line="240" w:lineRule="auto"/>
        <w:jc w:val="both"/>
        <w:rPr>
          <w:rFonts w:ascii="Calibri" w:eastAsia="Times New Roman" w:hAnsi="Calibri" w:cs="Calibri"/>
          <w:kern w:val="0"/>
          <w:sz w:val="16"/>
          <w:szCs w:val="16"/>
          <w:highlight w:val="yellow"/>
          <w14:ligatures w14:val="none"/>
        </w:rPr>
      </w:pPr>
    </w:p>
    <w:p w14:paraId="2A435A38" w14:textId="77777777" w:rsidR="00FC07C1" w:rsidRPr="00FC07C1" w:rsidRDefault="00FC07C1" w:rsidP="00FC07C1">
      <w:pPr>
        <w:spacing w:after="0" w:line="276" w:lineRule="auto"/>
        <w:jc w:val="both"/>
        <w:rPr>
          <w:rFonts w:ascii="Calibri" w:eastAsia="SimSun" w:hAnsi="Calibri" w:cs="Mangal"/>
          <w:kern w:val="0"/>
          <w14:ligatures w14:val="none"/>
        </w:rPr>
      </w:pPr>
      <w:r w:rsidRPr="00FC07C1">
        <w:rPr>
          <w:rFonts w:ascii="Calibri" w:eastAsia="SimSun" w:hAnsi="Calibri" w:cs="Mangal"/>
          <w:kern w:val="0"/>
          <w14:ligatures w14:val="none"/>
        </w:rPr>
        <w:t xml:space="preserve">Per informazioni: </w:t>
      </w:r>
      <w:hyperlink r:id="rId6" w:history="1">
        <w:r w:rsidRPr="00FC07C1">
          <w:rPr>
            <w:rFonts w:ascii="Calibri" w:eastAsia="SimSun" w:hAnsi="Calibri" w:cs="Mangal"/>
            <w:kern w:val="0"/>
            <w14:ligatures w14:val="none"/>
          </w:rPr>
          <w:t>www.athora.it</w:t>
        </w:r>
      </w:hyperlink>
      <w:r w:rsidRPr="00FC07C1">
        <w:rPr>
          <w:rFonts w:ascii="Calibri" w:eastAsia="SimSun" w:hAnsi="Calibri" w:cs="Mangal"/>
          <w:kern w:val="0"/>
          <w14:ligatures w14:val="none"/>
        </w:rPr>
        <w:t xml:space="preserve">; </w:t>
      </w:r>
    </w:p>
    <w:p w14:paraId="74E8E8E9" w14:textId="77777777" w:rsidR="00FC07C1" w:rsidRPr="002F3184" w:rsidRDefault="00FC07C1" w:rsidP="00FC07C1">
      <w:pPr>
        <w:spacing w:after="0" w:line="276" w:lineRule="auto"/>
        <w:jc w:val="both"/>
        <w:rPr>
          <w:rFonts w:ascii="Calibri" w:eastAsia="SimSun" w:hAnsi="Calibri" w:cs="Mangal"/>
          <w:kern w:val="0"/>
          <w:lang w:val="en-US"/>
          <w14:ligatures w14:val="none"/>
        </w:rPr>
      </w:pPr>
      <w:r w:rsidRPr="002F3184">
        <w:rPr>
          <w:rFonts w:ascii="Calibri" w:eastAsia="SimSun" w:hAnsi="Calibri" w:cs="Mangal"/>
          <w:kern w:val="0"/>
          <w:lang w:val="en-US"/>
          <w14:ligatures w14:val="none"/>
        </w:rPr>
        <w:t xml:space="preserve">LinkedIn: </w:t>
      </w:r>
      <w:hyperlink r:id="rId7" w:history="1">
        <w:r w:rsidRPr="002F3184">
          <w:rPr>
            <w:rFonts w:ascii="Calibri" w:eastAsia="SimSun" w:hAnsi="Calibri" w:cs="Mangal"/>
            <w:kern w:val="0"/>
            <w:lang w:val="en-US"/>
            <w14:ligatures w14:val="none"/>
          </w:rPr>
          <w:t>www.linkedin.com/company/athora-italia</w:t>
        </w:r>
      </w:hyperlink>
    </w:p>
    <w:p w14:paraId="263C394B" w14:textId="77777777" w:rsidR="00FC07C1" w:rsidRPr="002F3184" w:rsidRDefault="00FC07C1" w:rsidP="00FC07C1">
      <w:pPr>
        <w:spacing w:after="0" w:line="276" w:lineRule="auto"/>
        <w:jc w:val="both"/>
        <w:rPr>
          <w:rFonts w:ascii="Calibri" w:eastAsia="SimSun" w:hAnsi="Calibri" w:cs="Mangal"/>
          <w:kern w:val="0"/>
          <w:sz w:val="18"/>
          <w:szCs w:val="18"/>
          <w:lang w:val="en-US"/>
          <w14:ligatures w14:val="none"/>
        </w:rPr>
      </w:pPr>
    </w:p>
    <w:p w14:paraId="6F6EB574" w14:textId="77777777" w:rsidR="00FC07C1" w:rsidRPr="002F3184" w:rsidRDefault="00FC07C1" w:rsidP="00FC07C1">
      <w:pPr>
        <w:spacing w:after="0" w:line="276" w:lineRule="auto"/>
        <w:jc w:val="both"/>
        <w:rPr>
          <w:rFonts w:ascii="Calibri" w:eastAsia="Times New Roman" w:hAnsi="Calibri" w:cs="Calibri"/>
          <w:kern w:val="0"/>
          <w:sz w:val="18"/>
          <w:szCs w:val="18"/>
          <w:lang w:val="en-US"/>
          <w14:ligatures w14:val="none"/>
        </w:rPr>
      </w:pPr>
    </w:p>
    <w:p w14:paraId="053420B9" w14:textId="77777777" w:rsidR="00FC07C1" w:rsidRPr="00FC07C1" w:rsidRDefault="00FC07C1" w:rsidP="00FC07C1">
      <w:pPr>
        <w:spacing w:after="0" w:line="276" w:lineRule="auto"/>
        <w:jc w:val="both"/>
        <w:rPr>
          <w:rFonts w:ascii="Calibri" w:eastAsia="Times New Roman" w:hAnsi="Calibri" w:cs="Times New Roman"/>
          <w:b/>
          <w:color w:val="17365D"/>
          <w:kern w:val="0"/>
          <w14:ligatures w14:val="none"/>
        </w:rPr>
      </w:pPr>
      <w:r w:rsidRPr="00FC07C1">
        <w:rPr>
          <w:rFonts w:ascii="Calibri" w:eastAsia="Times New Roman" w:hAnsi="Calibri" w:cs="Times New Roman"/>
          <w:b/>
          <w:color w:val="17365D"/>
          <w:kern w:val="0"/>
          <w14:ligatures w14:val="none"/>
        </w:rPr>
        <w:t>Per ulteriori informazioni:</w:t>
      </w:r>
    </w:p>
    <w:p w14:paraId="3BD81D2B" w14:textId="77777777" w:rsidR="00FC07C1" w:rsidRPr="00FC07C1" w:rsidRDefault="00FC07C1" w:rsidP="00FC07C1">
      <w:pPr>
        <w:spacing w:after="0" w:line="276" w:lineRule="auto"/>
        <w:jc w:val="both"/>
        <w:rPr>
          <w:rFonts w:ascii="Calibri" w:eastAsia="Times New Roman" w:hAnsi="Calibri" w:cs="Times New Roman"/>
          <w:kern w:val="0"/>
          <w14:ligatures w14:val="none"/>
        </w:rPr>
      </w:pPr>
    </w:p>
    <w:p w14:paraId="6CE3CACB" w14:textId="77777777" w:rsidR="00FC07C1" w:rsidRPr="00FC07C1" w:rsidRDefault="00FC07C1" w:rsidP="00FC07C1">
      <w:pPr>
        <w:spacing w:after="0" w:line="276" w:lineRule="auto"/>
        <w:jc w:val="both"/>
        <w:rPr>
          <w:rFonts w:ascii="Calibri" w:eastAsia="Calibri" w:hAnsi="Calibri" w:cs="Calibri"/>
          <w:b/>
          <w:bCs/>
          <w:color w:val="002060"/>
          <w:kern w:val="0"/>
          <w14:ligatures w14:val="none"/>
        </w:rPr>
      </w:pPr>
      <w:r w:rsidRPr="00FC07C1">
        <w:rPr>
          <w:rFonts w:ascii="Calibri" w:eastAsia="Calibri" w:hAnsi="Calibri" w:cs="Calibri"/>
          <w:b/>
          <w:bCs/>
          <w:color w:val="002060"/>
          <w:kern w:val="0"/>
          <w14:ligatures w14:val="none"/>
        </w:rPr>
        <w:t>Athora Italia, Media Contact:</w:t>
      </w:r>
    </w:p>
    <w:p w14:paraId="79E7B538" w14:textId="77777777" w:rsidR="00FC07C1" w:rsidRPr="00FC07C1" w:rsidRDefault="00FC07C1" w:rsidP="00FC07C1">
      <w:pPr>
        <w:autoSpaceDE w:val="0"/>
        <w:autoSpaceDN w:val="0"/>
        <w:adjustRightInd w:val="0"/>
        <w:spacing w:after="0" w:line="276" w:lineRule="auto"/>
        <w:jc w:val="both"/>
        <w:rPr>
          <w:rFonts w:ascii="Calibri" w:eastAsia="Times New Roman" w:hAnsi="Calibri" w:cs="Calibri"/>
          <w:color w:val="000000"/>
          <w:kern w:val="0"/>
          <w14:ligatures w14:val="none"/>
        </w:rPr>
      </w:pPr>
      <w:r w:rsidRPr="00FC07C1">
        <w:rPr>
          <w:rFonts w:ascii="Calibri" w:eastAsia="Times New Roman" w:hAnsi="Calibri" w:cs="Calibri"/>
          <w:color w:val="000000"/>
          <w:kern w:val="0"/>
          <w14:ligatures w14:val="none"/>
        </w:rPr>
        <w:t xml:space="preserve">Close to Media: +39 02 70006237 </w:t>
      </w:r>
    </w:p>
    <w:p w14:paraId="49201FB4" w14:textId="18122F82" w:rsidR="00FC07C1" w:rsidRPr="00FC07C1" w:rsidRDefault="00FC07C1" w:rsidP="00FC07C1">
      <w:pPr>
        <w:autoSpaceDE w:val="0"/>
        <w:autoSpaceDN w:val="0"/>
        <w:adjustRightInd w:val="0"/>
        <w:spacing w:after="0" w:line="276" w:lineRule="auto"/>
        <w:jc w:val="both"/>
        <w:rPr>
          <w:rFonts w:ascii="Calibri" w:eastAsia="Times New Roman" w:hAnsi="Calibri" w:cs="Calibri"/>
          <w:kern w:val="0"/>
          <w14:ligatures w14:val="none"/>
        </w:rPr>
      </w:pPr>
      <w:r w:rsidRPr="00FC07C1">
        <w:rPr>
          <w:rFonts w:ascii="Calibri" w:eastAsia="Times New Roman" w:hAnsi="Calibri" w:cs="Calibri"/>
          <w:color w:val="000000"/>
          <w:kern w:val="0"/>
          <w14:ligatures w14:val="none"/>
        </w:rPr>
        <w:t xml:space="preserve">Davide </w:t>
      </w:r>
      <w:r w:rsidR="00CD65F2">
        <w:rPr>
          <w:rFonts w:ascii="Calibri" w:eastAsia="Times New Roman" w:hAnsi="Calibri" w:cs="Calibri"/>
          <w:color w:val="000000"/>
          <w:kern w:val="0"/>
          <w14:ligatures w14:val="none"/>
        </w:rPr>
        <w:t>d</w:t>
      </w:r>
      <w:r w:rsidRPr="00FC07C1">
        <w:rPr>
          <w:rFonts w:ascii="Calibri" w:eastAsia="Times New Roman" w:hAnsi="Calibri" w:cs="Calibri"/>
          <w:color w:val="000000"/>
          <w:kern w:val="0"/>
          <w14:ligatures w14:val="none"/>
        </w:rPr>
        <w:t>i Battista - davide.dibattista@closetomedia.it</w:t>
      </w:r>
      <w:r w:rsidRPr="00FC07C1">
        <w:rPr>
          <w:rFonts w:ascii="Calibri" w:eastAsia="Times New Roman" w:hAnsi="Calibri" w:cs="Calibri"/>
          <w:kern w:val="0"/>
          <w14:ligatures w14:val="none"/>
        </w:rPr>
        <w:t xml:space="preserve"> </w:t>
      </w:r>
    </w:p>
    <w:p w14:paraId="706D07B1" w14:textId="77777777" w:rsidR="00FC07C1" w:rsidRPr="00FC07C1" w:rsidRDefault="00FC07C1" w:rsidP="00FC07C1">
      <w:pPr>
        <w:spacing w:after="0" w:line="276" w:lineRule="auto"/>
        <w:jc w:val="both"/>
        <w:rPr>
          <w:rFonts w:ascii="Calibri" w:eastAsia="Times New Roman" w:hAnsi="Calibri" w:cs="Calibri"/>
          <w:color w:val="000000"/>
          <w:kern w:val="0"/>
          <w14:ligatures w14:val="none"/>
        </w:rPr>
      </w:pPr>
      <w:r w:rsidRPr="00FC07C1">
        <w:rPr>
          <w:rFonts w:ascii="Calibri" w:eastAsia="Times New Roman" w:hAnsi="Calibri" w:cs="Calibri"/>
          <w:kern w:val="0"/>
          <w14:ligatures w14:val="none"/>
        </w:rPr>
        <w:t xml:space="preserve">Elisa Gioia – </w:t>
      </w:r>
      <w:r w:rsidRPr="00FC07C1">
        <w:rPr>
          <w:rFonts w:ascii="Calibri" w:eastAsia="Times New Roman" w:hAnsi="Calibri" w:cs="Times New Roman"/>
          <w:kern w:val="0"/>
          <w14:ligatures w14:val="none"/>
        </w:rPr>
        <w:t>elisa.gioia@closetomedia.it</w:t>
      </w:r>
    </w:p>
    <w:p w14:paraId="21CD0032" w14:textId="77777777" w:rsidR="00FC07C1" w:rsidRPr="00FC07C1" w:rsidRDefault="00FC07C1" w:rsidP="00FC07C1">
      <w:pPr>
        <w:spacing w:after="0" w:line="276" w:lineRule="auto"/>
        <w:jc w:val="both"/>
        <w:rPr>
          <w:rFonts w:ascii="Calibri" w:eastAsia="Times New Roman" w:hAnsi="Calibri" w:cs="Calibri"/>
          <w:kern w:val="0"/>
          <w14:ligatures w14:val="none"/>
        </w:rPr>
      </w:pPr>
      <w:r w:rsidRPr="00FC07C1">
        <w:rPr>
          <w:rFonts w:ascii="Calibri" w:eastAsia="Times New Roman" w:hAnsi="Calibri" w:cs="Calibri"/>
          <w:kern w:val="0"/>
          <w14:ligatures w14:val="none"/>
        </w:rPr>
        <w:t>Marco Gabrieli – marco.gabrieli@closetomedia.it</w:t>
      </w:r>
    </w:p>
    <w:p w14:paraId="24B1D8E0" w14:textId="77777777" w:rsidR="00C46C15" w:rsidRDefault="00C46C15"/>
    <w:sectPr w:rsidR="00C46C15" w:rsidSect="00617688">
      <w:headerReference w:type="default" r:id="rId8"/>
      <w:pgSz w:w="11906" w:h="16838"/>
      <w:pgMar w:top="2141" w:right="1134" w:bottom="426"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D8A5" w14:textId="77777777" w:rsidR="00382502" w:rsidRDefault="00382502" w:rsidP="00B92B95">
      <w:pPr>
        <w:spacing w:after="0" w:line="240" w:lineRule="auto"/>
      </w:pPr>
      <w:r>
        <w:separator/>
      </w:r>
    </w:p>
  </w:endnote>
  <w:endnote w:type="continuationSeparator" w:id="0">
    <w:p w14:paraId="6812D2B2" w14:textId="77777777" w:rsidR="00382502" w:rsidRDefault="00382502" w:rsidP="00B9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5D79" w14:textId="77777777" w:rsidR="00382502" w:rsidRDefault="00382502" w:rsidP="00B92B95">
      <w:pPr>
        <w:spacing w:after="0" w:line="240" w:lineRule="auto"/>
      </w:pPr>
      <w:r>
        <w:separator/>
      </w:r>
    </w:p>
  </w:footnote>
  <w:footnote w:type="continuationSeparator" w:id="0">
    <w:p w14:paraId="13C6C688" w14:textId="77777777" w:rsidR="00382502" w:rsidRDefault="00382502" w:rsidP="00B92B95">
      <w:pPr>
        <w:spacing w:after="0" w:line="240" w:lineRule="auto"/>
      </w:pPr>
      <w:r>
        <w:continuationSeparator/>
      </w:r>
    </w:p>
  </w:footnote>
  <w:footnote w:id="1">
    <w:p w14:paraId="075C847E" w14:textId="77777777" w:rsidR="00367302" w:rsidRPr="00617688" w:rsidRDefault="00367302" w:rsidP="00367302">
      <w:pPr>
        <w:pStyle w:val="Testonotaapidipagina"/>
        <w:rPr>
          <w:color w:val="767171" w:themeColor="background2" w:themeShade="80"/>
          <w:sz w:val="18"/>
          <w:szCs w:val="18"/>
          <w:lang w:val="it-IT"/>
        </w:rPr>
      </w:pPr>
      <w:r w:rsidRPr="00617688">
        <w:rPr>
          <w:rStyle w:val="Rimandonotaapidipagina"/>
          <w:color w:val="767171" w:themeColor="background2" w:themeShade="80"/>
          <w:sz w:val="18"/>
          <w:szCs w:val="18"/>
        </w:rPr>
        <w:footnoteRef/>
      </w:r>
      <w:r w:rsidRPr="00617688">
        <w:rPr>
          <w:color w:val="767171" w:themeColor="background2" w:themeShade="80"/>
          <w:sz w:val="18"/>
          <w:szCs w:val="18"/>
          <w:lang w:val="it-IT"/>
        </w:rPr>
        <w:t>Popolazione 35-70 anni, periodo di rilevazione aprile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2CFD" w14:textId="4D1FF674" w:rsidR="00B92B95" w:rsidRDefault="00B92B95">
    <w:pPr>
      <w:pStyle w:val="Intestazione"/>
    </w:pPr>
    <w:r>
      <w:rPr>
        <w:noProof/>
      </w:rPr>
      <w:drawing>
        <wp:anchor distT="0" distB="0" distL="114300" distR="114300" simplePos="0" relativeHeight="251659264" behindDoc="0" locked="0" layoutInCell="1" allowOverlap="1" wp14:anchorId="5E3E9F00" wp14:editId="23669B31">
          <wp:simplePos x="0" y="0"/>
          <wp:positionH relativeFrom="margin">
            <wp:posOffset>4105275</wp:posOffset>
          </wp:positionH>
          <wp:positionV relativeFrom="paragraph">
            <wp:posOffset>174625</wp:posOffset>
          </wp:positionV>
          <wp:extent cx="1838325" cy="723265"/>
          <wp:effectExtent l="0" t="0" r="0" b="635"/>
          <wp:wrapThrough wrapText="bothSides">
            <wp:wrapPolygon edited="0">
              <wp:start x="8730" y="7965"/>
              <wp:lineTo x="7163" y="9103"/>
              <wp:lineTo x="1343" y="16499"/>
              <wp:lineTo x="1567" y="21050"/>
              <wp:lineTo x="19921" y="21050"/>
              <wp:lineTo x="21040" y="17068"/>
              <wp:lineTo x="18802" y="14792"/>
              <wp:lineTo x="10968" y="7965"/>
              <wp:lineTo x="8730" y="7965"/>
            </wp:wrapPolygon>
          </wp:wrapThrough>
          <wp:docPr id="12803143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0042"/>
                  <a:stretch/>
                </pic:blipFill>
                <pic:spPr bwMode="auto">
                  <a:xfrm>
                    <a:off x="0" y="0"/>
                    <a:ext cx="1838325" cy="723265"/>
                  </a:xfrm>
                  <a:prstGeom prst="rect">
                    <a:avLst/>
                  </a:prstGeom>
                  <a:noFill/>
                  <a:ln>
                    <a:noFill/>
                  </a:ln>
                  <a:extLst>
                    <a:ext uri="{53640926-AAD7-44D8-BBD7-CCE9431645EC}">
                      <a14:shadowObscured xmlns:a14="http://schemas.microsoft.com/office/drawing/2010/main"/>
                    </a:ext>
                  </a:extLst>
                </pic:spPr>
              </pic:pic>
            </a:graphicData>
          </a:graphic>
        </wp:anchor>
      </w:drawing>
    </w:r>
    <w:r w:rsidRPr="009F0B0A">
      <w:rPr>
        <w:rFonts w:cs="Calibri"/>
        <w:b/>
        <w:noProof/>
        <w:color w:val="002060"/>
        <w:sz w:val="32"/>
        <w:szCs w:val="32"/>
        <w:lang w:val="fr-FR"/>
      </w:rPr>
      <w:drawing>
        <wp:anchor distT="0" distB="0" distL="114300" distR="114300" simplePos="0" relativeHeight="251660288" behindDoc="0" locked="0" layoutInCell="1" allowOverlap="1" wp14:anchorId="325C78A0" wp14:editId="208C5317">
          <wp:simplePos x="0" y="0"/>
          <wp:positionH relativeFrom="margin">
            <wp:posOffset>0</wp:posOffset>
          </wp:positionH>
          <wp:positionV relativeFrom="paragraph">
            <wp:posOffset>370205</wp:posOffset>
          </wp:positionV>
          <wp:extent cx="2019300" cy="530225"/>
          <wp:effectExtent l="0" t="0" r="0" b="3175"/>
          <wp:wrapThrough wrapText="bothSides">
            <wp:wrapPolygon edited="0">
              <wp:start x="0" y="0"/>
              <wp:lineTo x="0" y="20953"/>
              <wp:lineTo x="21396" y="20953"/>
              <wp:lineTo x="21396" y="0"/>
              <wp:lineTo x="0" y="0"/>
            </wp:wrapPolygon>
          </wp:wrapThrough>
          <wp:docPr id="2068334496" name="Immagine 206833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19300" cy="530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95"/>
    <w:rsid w:val="000141E5"/>
    <w:rsid w:val="00015081"/>
    <w:rsid w:val="00062C37"/>
    <w:rsid w:val="00077329"/>
    <w:rsid w:val="0009070C"/>
    <w:rsid w:val="000E36C0"/>
    <w:rsid w:val="000E3781"/>
    <w:rsid w:val="0012687F"/>
    <w:rsid w:val="00127F30"/>
    <w:rsid w:val="00130ADD"/>
    <w:rsid w:val="00134A7E"/>
    <w:rsid w:val="001738C5"/>
    <w:rsid w:val="00175DC1"/>
    <w:rsid w:val="001A200D"/>
    <w:rsid w:val="00216016"/>
    <w:rsid w:val="00220EAF"/>
    <w:rsid w:val="00262E6F"/>
    <w:rsid w:val="00264AD8"/>
    <w:rsid w:val="002B135C"/>
    <w:rsid w:val="002F1B58"/>
    <w:rsid w:val="002F2222"/>
    <w:rsid w:val="002F3184"/>
    <w:rsid w:val="002F36EB"/>
    <w:rsid w:val="003213B8"/>
    <w:rsid w:val="00325A39"/>
    <w:rsid w:val="003377F9"/>
    <w:rsid w:val="0034645F"/>
    <w:rsid w:val="003511AC"/>
    <w:rsid w:val="00367302"/>
    <w:rsid w:val="00382502"/>
    <w:rsid w:val="00393511"/>
    <w:rsid w:val="00397048"/>
    <w:rsid w:val="003A0D97"/>
    <w:rsid w:val="003B1A9E"/>
    <w:rsid w:val="003D5F85"/>
    <w:rsid w:val="004633E1"/>
    <w:rsid w:val="00486D6C"/>
    <w:rsid w:val="0050133F"/>
    <w:rsid w:val="00503B24"/>
    <w:rsid w:val="00551AB7"/>
    <w:rsid w:val="005B2932"/>
    <w:rsid w:val="005B6225"/>
    <w:rsid w:val="005C4F83"/>
    <w:rsid w:val="006116F3"/>
    <w:rsid w:val="00617688"/>
    <w:rsid w:val="006873CC"/>
    <w:rsid w:val="006A41CE"/>
    <w:rsid w:val="006A6519"/>
    <w:rsid w:val="007532D8"/>
    <w:rsid w:val="00767958"/>
    <w:rsid w:val="0077173B"/>
    <w:rsid w:val="00785266"/>
    <w:rsid w:val="0079618E"/>
    <w:rsid w:val="007F2124"/>
    <w:rsid w:val="008017E3"/>
    <w:rsid w:val="00812E9E"/>
    <w:rsid w:val="00831265"/>
    <w:rsid w:val="00896D6D"/>
    <w:rsid w:val="008C06FF"/>
    <w:rsid w:val="008C7FDA"/>
    <w:rsid w:val="00904DF8"/>
    <w:rsid w:val="009206EF"/>
    <w:rsid w:val="00930D80"/>
    <w:rsid w:val="009459E8"/>
    <w:rsid w:val="00967E63"/>
    <w:rsid w:val="0098209D"/>
    <w:rsid w:val="00986E56"/>
    <w:rsid w:val="009A0858"/>
    <w:rsid w:val="009A2087"/>
    <w:rsid w:val="00A256C5"/>
    <w:rsid w:val="00A327EC"/>
    <w:rsid w:val="00A33122"/>
    <w:rsid w:val="00A55E93"/>
    <w:rsid w:val="00AF242D"/>
    <w:rsid w:val="00AF266C"/>
    <w:rsid w:val="00B04F28"/>
    <w:rsid w:val="00B47513"/>
    <w:rsid w:val="00B67807"/>
    <w:rsid w:val="00B92B95"/>
    <w:rsid w:val="00BA2AA4"/>
    <w:rsid w:val="00BE3216"/>
    <w:rsid w:val="00C07B31"/>
    <w:rsid w:val="00C46C15"/>
    <w:rsid w:val="00CB5B1B"/>
    <w:rsid w:val="00CC7CC7"/>
    <w:rsid w:val="00CD65F2"/>
    <w:rsid w:val="00CF01C0"/>
    <w:rsid w:val="00CF11E2"/>
    <w:rsid w:val="00D10CB1"/>
    <w:rsid w:val="00D86835"/>
    <w:rsid w:val="00DD1D14"/>
    <w:rsid w:val="00DE39E8"/>
    <w:rsid w:val="00DE6295"/>
    <w:rsid w:val="00E03984"/>
    <w:rsid w:val="00E03DED"/>
    <w:rsid w:val="00E24829"/>
    <w:rsid w:val="00E77582"/>
    <w:rsid w:val="00EA1A05"/>
    <w:rsid w:val="00EC3737"/>
    <w:rsid w:val="00ED0F3E"/>
    <w:rsid w:val="00F21994"/>
    <w:rsid w:val="00F30DB3"/>
    <w:rsid w:val="00F435B3"/>
    <w:rsid w:val="00F50292"/>
    <w:rsid w:val="00F65F4E"/>
    <w:rsid w:val="00F82856"/>
    <w:rsid w:val="00F873B0"/>
    <w:rsid w:val="00F96CD6"/>
    <w:rsid w:val="00FA64A0"/>
    <w:rsid w:val="00FC07C1"/>
    <w:rsid w:val="00FE3001"/>
    <w:rsid w:val="00FF62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2716C"/>
  <w15:chartTrackingRefBased/>
  <w15:docId w15:val="{71B7B5DD-937C-4BA3-AA29-F6013CD4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2B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92B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92B9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92B9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92B9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92B9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92B9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92B9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92B9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2B9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92B9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92B9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92B9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92B9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92B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92B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92B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92B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B92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92B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92B9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92B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92B9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92B95"/>
    <w:rPr>
      <w:i/>
      <w:iCs/>
      <w:color w:val="404040" w:themeColor="text1" w:themeTint="BF"/>
    </w:rPr>
  </w:style>
  <w:style w:type="paragraph" w:styleId="Paragrafoelenco">
    <w:name w:val="List Paragraph"/>
    <w:basedOn w:val="Normale"/>
    <w:uiPriority w:val="34"/>
    <w:qFormat/>
    <w:rsid w:val="00B92B95"/>
    <w:pPr>
      <w:ind w:left="720"/>
      <w:contextualSpacing/>
    </w:pPr>
  </w:style>
  <w:style w:type="character" w:styleId="Enfasiintensa">
    <w:name w:val="Intense Emphasis"/>
    <w:basedOn w:val="Carpredefinitoparagrafo"/>
    <w:uiPriority w:val="21"/>
    <w:qFormat/>
    <w:rsid w:val="00B92B95"/>
    <w:rPr>
      <w:i/>
      <w:iCs/>
      <w:color w:val="2F5496" w:themeColor="accent1" w:themeShade="BF"/>
    </w:rPr>
  </w:style>
  <w:style w:type="paragraph" w:styleId="Citazioneintensa">
    <w:name w:val="Intense Quote"/>
    <w:basedOn w:val="Normale"/>
    <w:next w:val="Normale"/>
    <w:link w:val="CitazioneintensaCarattere"/>
    <w:uiPriority w:val="30"/>
    <w:qFormat/>
    <w:rsid w:val="00B92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92B95"/>
    <w:rPr>
      <w:i/>
      <w:iCs/>
      <w:color w:val="2F5496" w:themeColor="accent1" w:themeShade="BF"/>
    </w:rPr>
  </w:style>
  <w:style w:type="character" w:styleId="Riferimentointenso">
    <w:name w:val="Intense Reference"/>
    <w:basedOn w:val="Carpredefinitoparagrafo"/>
    <w:uiPriority w:val="32"/>
    <w:qFormat/>
    <w:rsid w:val="00B92B95"/>
    <w:rPr>
      <w:b/>
      <w:bCs/>
      <w:smallCaps/>
      <w:color w:val="2F5496" w:themeColor="accent1" w:themeShade="BF"/>
      <w:spacing w:val="5"/>
    </w:rPr>
  </w:style>
  <w:style w:type="paragraph" w:styleId="Intestazione">
    <w:name w:val="header"/>
    <w:basedOn w:val="Normale"/>
    <w:link w:val="IntestazioneCarattere"/>
    <w:uiPriority w:val="99"/>
    <w:unhideWhenUsed/>
    <w:rsid w:val="00B92B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2B95"/>
  </w:style>
  <w:style w:type="paragraph" w:styleId="Pidipagina">
    <w:name w:val="footer"/>
    <w:basedOn w:val="Normale"/>
    <w:link w:val="PidipaginaCarattere"/>
    <w:uiPriority w:val="99"/>
    <w:unhideWhenUsed/>
    <w:rsid w:val="00B92B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2B95"/>
  </w:style>
  <w:style w:type="character" w:styleId="Rimandonotaapidipagina">
    <w:name w:val="footnote reference"/>
    <w:basedOn w:val="Carpredefinitoparagrafo"/>
    <w:uiPriority w:val="99"/>
    <w:rsid w:val="00617688"/>
    <w:rPr>
      <w:vertAlign w:val="superscript"/>
    </w:rPr>
  </w:style>
  <w:style w:type="paragraph" w:styleId="Testonotaapidipagina">
    <w:name w:val="footnote text"/>
    <w:basedOn w:val="Normale"/>
    <w:link w:val="TestonotaapidipaginaCarattere"/>
    <w:uiPriority w:val="7"/>
    <w:rsid w:val="00617688"/>
    <w:pPr>
      <w:spacing w:after="0" w:line="240" w:lineRule="auto"/>
    </w:pPr>
    <w:rPr>
      <w:rFonts w:eastAsia="Times New Roman" w:cs="Times New Roman"/>
      <w:kern w:val="0"/>
      <w:sz w:val="20"/>
      <w:szCs w:val="20"/>
      <w:lang w:val="en-GB"/>
      <w14:ligatures w14:val="none"/>
    </w:rPr>
  </w:style>
  <w:style w:type="character" w:customStyle="1" w:styleId="TestonotaapidipaginaCarattere">
    <w:name w:val="Testo nota a piè di pagina Carattere"/>
    <w:basedOn w:val="Carpredefinitoparagrafo"/>
    <w:link w:val="Testonotaapidipagina"/>
    <w:uiPriority w:val="7"/>
    <w:rsid w:val="00617688"/>
    <w:rPr>
      <w:rFonts w:eastAsia="Times New Roman" w:cs="Times New Roman"/>
      <w:kern w:val="0"/>
      <w:sz w:val="20"/>
      <w:szCs w:val="20"/>
      <w:lang w:val="en-GB"/>
      <w14:ligatures w14:val="none"/>
    </w:rPr>
  </w:style>
  <w:style w:type="paragraph" w:styleId="Revisione">
    <w:name w:val="Revision"/>
    <w:hidden/>
    <w:uiPriority w:val="99"/>
    <w:semiHidden/>
    <w:rsid w:val="00DE39E8"/>
    <w:pPr>
      <w:spacing w:after="0" w:line="240" w:lineRule="auto"/>
    </w:pPr>
  </w:style>
  <w:style w:type="paragraph" w:styleId="NormaleWeb">
    <w:name w:val="Normal (Web)"/>
    <w:basedOn w:val="Normale"/>
    <w:uiPriority w:val="99"/>
    <w:semiHidden/>
    <w:unhideWhenUsed/>
    <w:rsid w:val="008017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1392">
      <w:bodyDiv w:val="1"/>
      <w:marLeft w:val="0"/>
      <w:marRight w:val="0"/>
      <w:marTop w:val="0"/>
      <w:marBottom w:val="0"/>
      <w:divBdr>
        <w:top w:val="none" w:sz="0" w:space="0" w:color="auto"/>
        <w:left w:val="none" w:sz="0" w:space="0" w:color="auto"/>
        <w:bottom w:val="none" w:sz="0" w:space="0" w:color="auto"/>
        <w:right w:val="none" w:sz="0" w:space="0" w:color="auto"/>
      </w:divBdr>
    </w:div>
    <w:div w:id="161509198">
      <w:bodyDiv w:val="1"/>
      <w:marLeft w:val="0"/>
      <w:marRight w:val="0"/>
      <w:marTop w:val="0"/>
      <w:marBottom w:val="0"/>
      <w:divBdr>
        <w:top w:val="none" w:sz="0" w:space="0" w:color="auto"/>
        <w:left w:val="none" w:sz="0" w:space="0" w:color="auto"/>
        <w:bottom w:val="none" w:sz="0" w:space="0" w:color="auto"/>
        <w:right w:val="none" w:sz="0" w:space="0" w:color="auto"/>
      </w:divBdr>
    </w:div>
    <w:div w:id="301691035">
      <w:bodyDiv w:val="1"/>
      <w:marLeft w:val="0"/>
      <w:marRight w:val="0"/>
      <w:marTop w:val="0"/>
      <w:marBottom w:val="0"/>
      <w:divBdr>
        <w:top w:val="none" w:sz="0" w:space="0" w:color="auto"/>
        <w:left w:val="none" w:sz="0" w:space="0" w:color="auto"/>
        <w:bottom w:val="none" w:sz="0" w:space="0" w:color="auto"/>
        <w:right w:val="none" w:sz="0" w:space="0" w:color="auto"/>
      </w:divBdr>
    </w:div>
    <w:div w:id="835458963">
      <w:bodyDiv w:val="1"/>
      <w:marLeft w:val="0"/>
      <w:marRight w:val="0"/>
      <w:marTop w:val="0"/>
      <w:marBottom w:val="0"/>
      <w:divBdr>
        <w:top w:val="none" w:sz="0" w:space="0" w:color="auto"/>
        <w:left w:val="none" w:sz="0" w:space="0" w:color="auto"/>
        <w:bottom w:val="none" w:sz="0" w:space="0" w:color="auto"/>
        <w:right w:val="none" w:sz="0" w:space="0" w:color="auto"/>
      </w:divBdr>
    </w:div>
    <w:div w:id="867832634">
      <w:bodyDiv w:val="1"/>
      <w:marLeft w:val="0"/>
      <w:marRight w:val="0"/>
      <w:marTop w:val="0"/>
      <w:marBottom w:val="0"/>
      <w:divBdr>
        <w:top w:val="none" w:sz="0" w:space="0" w:color="auto"/>
        <w:left w:val="none" w:sz="0" w:space="0" w:color="auto"/>
        <w:bottom w:val="none" w:sz="0" w:space="0" w:color="auto"/>
        <w:right w:val="none" w:sz="0" w:space="0" w:color="auto"/>
      </w:divBdr>
    </w:div>
    <w:div w:id="1398435839">
      <w:bodyDiv w:val="1"/>
      <w:marLeft w:val="0"/>
      <w:marRight w:val="0"/>
      <w:marTop w:val="0"/>
      <w:marBottom w:val="0"/>
      <w:divBdr>
        <w:top w:val="none" w:sz="0" w:space="0" w:color="auto"/>
        <w:left w:val="none" w:sz="0" w:space="0" w:color="auto"/>
        <w:bottom w:val="none" w:sz="0" w:space="0" w:color="auto"/>
        <w:right w:val="none" w:sz="0" w:space="0" w:color="auto"/>
      </w:divBdr>
    </w:div>
    <w:div w:id="1569608599">
      <w:bodyDiv w:val="1"/>
      <w:marLeft w:val="0"/>
      <w:marRight w:val="0"/>
      <w:marTop w:val="0"/>
      <w:marBottom w:val="0"/>
      <w:divBdr>
        <w:top w:val="none" w:sz="0" w:space="0" w:color="auto"/>
        <w:left w:val="none" w:sz="0" w:space="0" w:color="auto"/>
        <w:bottom w:val="none" w:sz="0" w:space="0" w:color="auto"/>
        <w:right w:val="none" w:sz="0" w:space="0" w:color="auto"/>
      </w:divBdr>
    </w:div>
    <w:div w:id="1791778863">
      <w:bodyDiv w:val="1"/>
      <w:marLeft w:val="0"/>
      <w:marRight w:val="0"/>
      <w:marTop w:val="0"/>
      <w:marBottom w:val="0"/>
      <w:divBdr>
        <w:top w:val="none" w:sz="0" w:space="0" w:color="auto"/>
        <w:left w:val="none" w:sz="0" w:space="0" w:color="auto"/>
        <w:bottom w:val="none" w:sz="0" w:space="0" w:color="auto"/>
        <w:right w:val="none" w:sz="0" w:space="0" w:color="auto"/>
      </w:divBdr>
    </w:div>
    <w:div w:id="1992908483">
      <w:bodyDiv w:val="1"/>
      <w:marLeft w:val="0"/>
      <w:marRight w:val="0"/>
      <w:marTop w:val="0"/>
      <w:marBottom w:val="0"/>
      <w:divBdr>
        <w:top w:val="none" w:sz="0" w:space="0" w:color="auto"/>
        <w:left w:val="none" w:sz="0" w:space="0" w:color="auto"/>
        <w:bottom w:val="none" w:sz="0" w:space="0" w:color="auto"/>
        <w:right w:val="none" w:sz="0" w:space="0" w:color="auto"/>
      </w:divBdr>
    </w:div>
    <w:div w:id="20522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inkedin.com/company/athora-ital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hora.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556</Words>
  <Characters>3175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Di Battista</dc:creator>
  <cp:keywords/>
  <dc:description/>
  <cp:lastModifiedBy>Chirico, Angela Francesca</cp:lastModifiedBy>
  <cp:revision>26</cp:revision>
  <dcterms:created xsi:type="dcterms:W3CDTF">2025-07-18T09:13:00Z</dcterms:created>
  <dcterms:modified xsi:type="dcterms:W3CDTF">2025-07-23T15:47:00Z</dcterms:modified>
</cp:coreProperties>
</file>